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1B" w:rsidRDefault="00594F1B" w:rsidP="00594F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4F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Марков Виктор Иванович </w:t>
      </w:r>
    </w:p>
    <w:p w:rsidR="00594F1B" w:rsidRDefault="00594F1B" w:rsidP="00594F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4F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ГБСУВУ для детей и подростков с </w:t>
      </w:r>
      <w:proofErr w:type="spellStart"/>
      <w:r w:rsidRPr="00594F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девиантным</w:t>
      </w:r>
      <w:proofErr w:type="spellEnd"/>
      <w:r w:rsidRPr="00594F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поведением</w:t>
      </w:r>
    </w:p>
    <w:p w:rsidR="00594F1B" w:rsidRDefault="00594F1B" w:rsidP="00594F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4F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"Каширская специальная общеобразовательная школа закрытого типа" </w:t>
      </w:r>
    </w:p>
    <w:p w:rsidR="00594F1B" w:rsidRDefault="00594F1B" w:rsidP="00594F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4F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Московской области</w:t>
      </w:r>
    </w:p>
    <w:p w:rsidR="00594F1B" w:rsidRPr="00594F1B" w:rsidRDefault="00594F1B" w:rsidP="00594F1B">
      <w:pPr>
        <w:shd w:val="clear" w:color="auto" w:fill="FFFFFF"/>
        <w:spacing w:after="0" w:line="240" w:lineRule="auto"/>
        <w:jc w:val="right"/>
        <w:rPr>
          <w:rStyle w:val="a9"/>
          <w:rFonts w:ascii="Times New Roman" w:hAnsi="Times New Roman" w:cs="Times New Roman"/>
          <w:sz w:val="24"/>
          <w:szCs w:val="24"/>
        </w:rPr>
      </w:pPr>
      <w:r w:rsidRPr="00594F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истории</w:t>
      </w:r>
    </w:p>
    <w:p w:rsidR="00965FA2" w:rsidRPr="00594F1B" w:rsidRDefault="00965FA2" w:rsidP="00594F1B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a9"/>
          <w:rFonts w:ascii="Times New Roman" w:hAnsi="Times New Roman" w:cs="Times New Roman"/>
          <w:sz w:val="24"/>
          <w:szCs w:val="24"/>
        </w:rPr>
      </w:pPr>
      <w:proofErr w:type="gramStart"/>
      <w:r w:rsidRPr="00594F1B">
        <w:rPr>
          <w:rStyle w:val="a9"/>
          <w:rFonts w:ascii="Times New Roman" w:hAnsi="Times New Roman" w:cs="Times New Roman"/>
          <w:sz w:val="24"/>
          <w:szCs w:val="24"/>
        </w:rPr>
        <w:t>Показуха</w:t>
      </w:r>
      <w:proofErr w:type="gramEnd"/>
      <w:r w:rsidRPr="00594F1B">
        <w:rPr>
          <w:rStyle w:val="a9"/>
          <w:rFonts w:ascii="Times New Roman" w:hAnsi="Times New Roman" w:cs="Times New Roman"/>
          <w:sz w:val="24"/>
          <w:szCs w:val="24"/>
        </w:rPr>
        <w:t xml:space="preserve"> и школа</w:t>
      </w:r>
    </w:p>
    <w:p w:rsidR="002A721D" w:rsidRDefault="00965FA2" w:rsidP="002A721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a9"/>
          <w:rFonts w:ascii="Times New Roman" w:hAnsi="Times New Roman" w:cs="Times New Roman"/>
          <w:sz w:val="24"/>
          <w:szCs w:val="24"/>
        </w:rPr>
        <w:t xml:space="preserve">           </w:t>
      </w:r>
      <w:r w:rsidR="003D5FBB" w:rsidRPr="00C25745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39B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Показуха</w:t>
      </w:r>
      <w:proofErr w:type="gramEnd"/>
      <w:r w:rsidR="00EA39B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 видимость благополучия, успешной деятельности: действия, рассчитанные на внешний эффект, на то, чтобы произвести благоприятное впечатление. </w:t>
      </w:r>
      <w:proofErr w:type="gramStart"/>
      <w:r w:rsidR="00EA39B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 С. И. Ожегов.</w:t>
      </w:r>
      <w:proofErr w:type="gramEnd"/>
      <w:r w:rsidR="00EA39B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Словарь русского языка. </w:t>
      </w:r>
      <w:proofErr w:type="gramStart"/>
      <w:r w:rsidR="00EA39B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М., «Русский язык», 1988, с. 445).</w:t>
      </w:r>
      <w:proofErr w:type="gramEnd"/>
      <w:r w:rsidR="00EA39B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="00EA39B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Показуха</w:t>
      </w:r>
      <w:proofErr w:type="gramEnd"/>
      <w:r w:rsidR="00EA39B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является непременным атрибутом политической,</w:t>
      </w:r>
      <w:r w:rsidR="00906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культурной жизни общества.   Раковой </w:t>
      </w:r>
      <w:r w:rsidR="00EA39B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опухоль</w:t>
      </w:r>
      <w:r w:rsidR="00906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ю </w:t>
      </w:r>
      <w:r w:rsidR="00EA39B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вросла она в сферу образования. </w:t>
      </w:r>
      <w:r w:rsidR="00906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44053" w:rsidRPr="00C25745">
        <w:rPr>
          <w:rFonts w:ascii="Times New Roman" w:hAnsi="Times New Roman" w:cs="Times New Roman"/>
          <w:sz w:val="24"/>
          <w:szCs w:val="24"/>
          <w:lang w:eastAsia="ru-RU"/>
        </w:rPr>
        <w:t xml:space="preserve">Каковы основные показатели сегодняшнего школьного обучения? Уровень </w:t>
      </w:r>
      <w:proofErr w:type="spellStart"/>
      <w:r w:rsidR="00844053" w:rsidRPr="00C25745">
        <w:rPr>
          <w:rFonts w:ascii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="00844053" w:rsidRPr="00C257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D5FBB" w:rsidRPr="00C257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44053" w:rsidRPr="00C25745">
        <w:rPr>
          <w:rFonts w:ascii="Times New Roman" w:hAnsi="Times New Roman" w:cs="Times New Roman"/>
          <w:sz w:val="24"/>
          <w:szCs w:val="24"/>
          <w:lang w:eastAsia="ru-RU"/>
        </w:rPr>
        <w:t xml:space="preserve">(количество учащихся, успевающих без </w:t>
      </w:r>
      <w:r w:rsidR="005C5756" w:rsidRPr="00C2574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44053" w:rsidRPr="00C25745">
        <w:rPr>
          <w:rFonts w:ascii="Times New Roman" w:hAnsi="Times New Roman" w:cs="Times New Roman"/>
          <w:sz w:val="24"/>
          <w:szCs w:val="24"/>
          <w:lang w:eastAsia="ru-RU"/>
        </w:rPr>
        <w:t>двоек</w:t>
      </w:r>
      <w:r w:rsidR="005C5756" w:rsidRPr="00C2574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844053" w:rsidRPr="00C25745">
        <w:rPr>
          <w:rFonts w:ascii="Times New Roman" w:hAnsi="Times New Roman" w:cs="Times New Roman"/>
          <w:sz w:val="24"/>
          <w:szCs w:val="24"/>
          <w:lang w:eastAsia="ru-RU"/>
        </w:rPr>
        <w:t xml:space="preserve"> в п</w:t>
      </w:r>
      <w:r w:rsidR="00016348" w:rsidRPr="00C25745">
        <w:rPr>
          <w:rFonts w:ascii="Times New Roman" w:hAnsi="Times New Roman" w:cs="Times New Roman"/>
          <w:sz w:val="24"/>
          <w:szCs w:val="24"/>
          <w:lang w:eastAsia="ru-RU"/>
        </w:rPr>
        <w:t>роцентах) и качество обучения (</w:t>
      </w:r>
      <w:r w:rsidR="00844053" w:rsidRPr="00C25745">
        <w:rPr>
          <w:rFonts w:ascii="Times New Roman" w:hAnsi="Times New Roman" w:cs="Times New Roman"/>
          <w:sz w:val="24"/>
          <w:szCs w:val="24"/>
          <w:lang w:eastAsia="ru-RU"/>
        </w:rPr>
        <w:t>количество учащихся, имеющих хорошие и отличные оценки, тоже в процентах)</w:t>
      </w:r>
      <w:r w:rsidR="00B02AF2" w:rsidRPr="00C2574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D5FBB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Статистика утверждает, что успеваемость в школах </w:t>
      </w:r>
      <w:r w:rsidR="00FC3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5FBB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30-40  лет назад была на уровне 97 процентов. Статистика, конечно, привирает, но не сильно. Многие из нас сами учились именно в то время и по личным впечатлениям могут сказать, что обычно в классе (25—30 человек) было 1—2 двоечника, то есть 3—8 процентов.</w:t>
      </w:r>
      <w:r w:rsidR="00730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5FBB" w:rsidRPr="00C25745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все отчеты провозглашают 100-процентную успеваемости. Откуда эти   проценты успеваемости? Все просто - учителям запрещено ставить двойки, созданы такие условия, когда для учителя поставить двойку — значит самому себя высечь. Администрация школы (директор, заместитель по учебной работе) открытым текстом говорят учителям о необходимости поставить неуспевающим учащимся «тройки». Если кто–</w:t>
      </w:r>
      <w:proofErr w:type="spellStart"/>
      <w:r w:rsidR="003D5FBB" w:rsidRPr="00C25745">
        <w:rPr>
          <w:rFonts w:ascii="Times New Roman" w:eastAsia="Times New Roman" w:hAnsi="Times New Roman" w:cs="Times New Roman"/>
          <w:color w:val="000000"/>
          <w:sz w:val="24"/>
          <w:szCs w:val="24"/>
        </w:rPr>
        <w:t>нибудь</w:t>
      </w:r>
      <w:proofErr w:type="spellEnd"/>
      <w:r w:rsidR="003D5FBB" w:rsidRPr="00C25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из учителей «пойдёт на принцип» и поставит «двойку» нерадивому ученику, он потеряет в стимулирующих выплатах, против него </w:t>
      </w:r>
      <w:r w:rsidR="00FC3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учебном заведении </w:t>
      </w:r>
      <w:r w:rsidR="003D5FBB" w:rsidRPr="00C25745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создано соответствующее его положению общественное мне</w:t>
      </w:r>
      <w:r w:rsidR="002A721D">
        <w:rPr>
          <w:rFonts w:ascii="Times New Roman" w:eastAsia="Times New Roman" w:hAnsi="Times New Roman" w:cs="Times New Roman"/>
          <w:color w:val="000000"/>
          <w:sz w:val="24"/>
          <w:szCs w:val="24"/>
        </w:rPr>
        <w:t>ние.</w:t>
      </w:r>
      <w:r w:rsidR="002A721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EA39B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3D5FBB" w:rsidRPr="002A721D" w:rsidRDefault="002A721D" w:rsidP="002A7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</w:t>
      </w:r>
      <w:r w:rsidR="003D5FBB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Сами ученики совершенно спокойно заявляют, что в их классах учится  2—4 человека! Успеваемость — 6-18 процентов. </w:t>
      </w:r>
      <w:r w:rsidR="003D5FBB" w:rsidRPr="00C2574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 чему это привело, показали результаты ЕГЭ 2014 по русскому языку и математике. </w:t>
      </w:r>
      <w:r w:rsidR="003D5FBB" w:rsidRPr="00C257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Средний балл абитуриентов, сдающих Единый государственный экзамен, в 2014 году снизился по всем предметам (по данным</w:t>
      </w:r>
      <w:r w:rsidR="003D5FBB" w:rsidRPr="00C25745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</w:rPr>
        <w:t xml:space="preserve"> </w:t>
      </w:r>
      <w:r w:rsidR="003D5FBB" w:rsidRPr="00C257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Министерства образования и науки РФ). </w:t>
      </w:r>
      <w:r w:rsidR="003D5FBB" w:rsidRPr="00C25745">
        <w:rPr>
          <w:rFonts w:ascii="Times New Roman" w:eastAsia="Times New Roman" w:hAnsi="Times New Roman" w:cs="Times New Roman"/>
          <w:color w:val="000000"/>
          <w:sz w:val="24"/>
          <w:szCs w:val="24"/>
        </w:rPr>
        <w:t>По сравнению с 2013 годом   больше всего пострадали оценки по математике и физике: в 2014  году учащиеся в среднем получили 39,6 баллов за первый предмет и 45,7 за знания второго. </w:t>
      </w:r>
      <w:r w:rsidR="003D5FBB" w:rsidRPr="00C257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сравнения, в 2013 году этот показатель составлял 49, 6 и 54.6 баллов.</w:t>
      </w:r>
      <w:r w:rsidR="003D5FBB" w:rsidRPr="00C25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5FBB" w:rsidRPr="00C257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Почти </w:t>
      </w:r>
      <w:proofErr w:type="gramStart"/>
      <w:r w:rsidR="003D5FBB" w:rsidRPr="00C257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</w:t>
      </w:r>
      <w:r w:rsidR="007176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3D5FBB" w:rsidRPr="00C257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те</w:t>
      </w:r>
      <w:proofErr w:type="gramEnd"/>
      <w:r w:rsidR="003D5FBB" w:rsidRPr="00C257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же значения снизились результаты абитуриентов по химии, истории и английскому языку, информатика, география и литература упали только на 4-5 баллов в среднем. </w:t>
      </w:r>
      <w:r w:rsidR="003D5FBB" w:rsidRPr="00C25745">
        <w:rPr>
          <w:rFonts w:ascii="Times New Roman" w:hAnsi="Times New Roman" w:cs="Times New Roman"/>
          <w:sz w:val="24"/>
          <w:szCs w:val="24"/>
        </w:rPr>
        <w:t xml:space="preserve">Напомним, что в 2014  году минимальный порог баллов по русскому языку, необходимый для получения аттестата, был снижен с 36 до 24 баллов, поскольку, по словам представителей </w:t>
      </w:r>
      <w:proofErr w:type="spellStart"/>
      <w:r w:rsidR="003D5FBB" w:rsidRPr="00C25745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3D5FBB" w:rsidRPr="00C25745">
        <w:rPr>
          <w:rFonts w:ascii="Times New Roman" w:hAnsi="Times New Roman" w:cs="Times New Roman"/>
          <w:sz w:val="24"/>
          <w:szCs w:val="24"/>
        </w:rPr>
        <w:t xml:space="preserve">, «многие школьники могли остаться без аттестата». После этого понижения ректор МГУ </w:t>
      </w:r>
      <w:r w:rsidR="0071766B">
        <w:rPr>
          <w:rFonts w:ascii="Times New Roman" w:hAnsi="Times New Roman" w:cs="Times New Roman"/>
          <w:sz w:val="24"/>
          <w:szCs w:val="24"/>
        </w:rPr>
        <w:t>В. Садовничий</w:t>
      </w:r>
      <w:r w:rsidR="003D5FBB" w:rsidRPr="00C25745">
        <w:rPr>
          <w:rFonts w:ascii="Times New Roman" w:hAnsi="Times New Roman" w:cs="Times New Roman"/>
          <w:sz w:val="24"/>
          <w:szCs w:val="24"/>
        </w:rPr>
        <w:t xml:space="preserve"> </w:t>
      </w:r>
      <w:r w:rsidR="003D5FBB" w:rsidRPr="00C2574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D5FBB" w:rsidRPr="00C25745">
        <w:rPr>
          <w:rFonts w:ascii="Times New Roman" w:hAnsi="Times New Roman" w:cs="Times New Roman"/>
          <w:sz w:val="24"/>
          <w:szCs w:val="24"/>
        </w:rPr>
        <w:t>заявил, что если бы минимальный порог не понизили, то 20% выпускников не получили бы аттестаты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5FBB" w:rsidRPr="00C2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если придерживаться критериев старой советской школы (тройка, начиная с 50 процентов), то половину предметов российская школа завалила, а другую сдала на « тройку с минусом». Провал привычно назвали успехом, а снижение минимального балла объяснили высшими  соображениями - заботой о детях, тревогой за их будущее. </w:t>
      </w:r>
    </w:p>
    <w:p w:rsidR="003D5FBB" w:rsidRDefault="003D5FBB" w:rsidP="00001DF9">
      <w:pPr>
        <w:pStyle w:val="a3"/>
        <w:shd w:val="clear" w:color="auto" w:fill="FFFFFF" w:themeFill="background1"/>
        <w:spacing w:before="0" w:after="0"/>
        <w:ind w:firstLine="709"/>
        <w:jc w:val="both"/>
        <w:textAlignment w:val="baseline"/>
        <w:rPr>
          <w:rFonts w:ascii="Times New Roman" w:hAnsi="Times New Roman"/>
          <w:sz w:val="24"/>
        </w:rPr>
      </w:pPr>
      <w:r w:rsidRPr="00C25745">
        <w:rPr>
          <w:rFonts w:ascii="Times New Roman" w:hAnsi="Times New Roman"/>
          <w:sz w:val="24"/>
        </w:rPr>
        <w:t xml:space="preserve">Министр Ливанов  заявил, что регионы подготовят специальные программы поддержки слабых школ, в которых были низкие </w:t>
      </w:r>
      <w:r w:rsidRPr="00C25745">
        <w:rPr>
          <w:rFonts w:ascii="Times New Roman" w:hAnsi="Times New Roman"/>
          <w:sz w:val="24"/>
        </w:rPr>
        <w:lastRenderedPageBreak/>
        <w:t>результаты ЕГЭ. Кроме того, Ливанов пообещал «максимально снизить пс</w:t>
      </w:r>
      <w:r w:rsidR="002A721D">
        <w:rPr>
          <w:rFonts w:ascii="Times New Roman" w:hAnsi="Times New Roman"/>
          <w:sz w:val="24"/>
        </w:rPr>
        <w:t>ихологическую нагрузку экзамена</w:t>
      </w:r>
      <w:r w:rsidRPr="00C25745">
        <w:rPr>
          <w:rFonts w:ascii="Times New Roman" w:hAnsi="Times New Roman"/>
          <w:sz w:val="24"/>
        </w:rPr>
        <w:t xml:space="preserve">. «У человека, который идет сдавать экзамен, не должно быть ощущения, что это его последний шанс. Именно поэтому мы сделаем так, чтобы экзамен можно было пересдавать несколько раз, чтобы его можно было сдавать в течение учебного года», — сказал Ливанов. Министр  также сообщил, что кампания ЕГЭ 2014  года федеральному бюджету обошлась в 1 млрд. 163 млн. рублей (в 2013- 500 млн. рублей). Сколько новых школ </w:t>
      </w:r>
      <w:proofErr w:type="gramStart"/>
      <w:r w:rsidRPr="00C25745">
        <w:rPr>
          <w:rFonts w:ascii="Times New Roman" w:hAnsi="Times New Roman"/>
          <w:sz w:val="24"/>
        </w:rPr>
        <w:t>можно было построить</w:t>
      </w:r>
      <w:r w:rsidR="0071766B">
        <w:rPr>
          <w:rFonts w:ascii="Times New Roman" w:hAnsi="Times New Roman"/>
          <w:sz w:val="24"/>
        </w:rPr>
        <w:t xml:space="preserve"> </w:t>
      </w:r>
      <w:r w:rsidRPr="00C25745">
        <w:rPr>
          <w:rFonts w:ascii="Times New Roman" w:hAnsi="Times New Roman"/>
          <w:sz w:val="24"/>
        </w:rPr>
        <w:t xml:space="preserve"> на эти деньги министр не посчитал</w:t>
      </w:r>
      <w:proofErr w:type="gramEnd"/>
      <w:r w:rsidRPr="00C25745">
        <w:rPr>
          <w:rFonts w:ascii="Times New Roman" w:hAnsi="Times New Roman"/>
          <w:sz w:val="24"/>
        </w:rPr>
        <w:t>.</w:t>
      </w:r>
    </w:p>
    <w:p w:rsidR="002A721D" w:rsidRPr="00C25745" w:rsidRDefault="002A721D" w:rsidP="00001DF9">
      <w:pPr>
        <w:pStyle w:val="a3"/>
        <w:shd w:val="clear" w:color="auto" w:fill="FFFFFF" w:themeFill="background1"/>
        <w:spacing w:before="0" w:after="0"/>
        <w:ind w:firstLine="709"/>
        <w:jc w:val="both"/>
        <w:textAlignment w:val="baseline"/>
        <w:rPr>
          <w:rFonts w:ascii="Times New Roman" w:hAnsi="Times New Roman"/>
          <w:sz w:val="24"/>
        </w:rPr>
      </w:pPr>
    </w:p>
    <w:p w:rsidR="0071766B" w:rsidRDefault="0071766B" w:rsidP="002A721D">
      <w:pPr>
        <w:pStyle w:val="a3"/>
        <w:shd w:val="clear" w:color="auto" w:fill="FFFFFF" w:themeFill="background1"/>
        <w:spacing w:before="0" w:after="0"/>
        <w:ind w:firstLine="709"/>
        <w:jc w:val="both"/>
        <w:textAlignment w:val="baseline"/>
        <w:rPr>
          <w:rFonts w:ascii="Times New Roman" w:eastAsia="Times New Roman" w:hAnsi="Times New Roman"/>
          <w:sz w:val="24"/>
        </w:rPr>
      </w:pPr>
    </w:p>
    <w:p w:rsidR="002A721D" w:rsidRPr="002A721D" w:rsidRDefault="00844053" w:rsidP="002A721D">
      <w:pPr>
        <w:pStyle w:val="a3"/>
        <w:shd w:val="clear" w:color="auto" w:fill="FFFFFF" w:themeFill="background1"/>
        <w:spacing w:before="0" w:after="0"/>
        <w:ind w:firstLine="709"/>
        <w:jc w:val="both"/>
        <w:textAlignment w:val="baseline"/>
        <w:rPr>
          <w:rFonts w:ascii="Times New Roman" w:hAnsi="Times New Roman"/>
          <w:sz w:val="24"/>
          <w:bdr w:val="none" w:sz="0" w:space="0" w:color="auto" w:frame="1"/>
        </w:rPr>
      </w:pPr>
      <w:r w:rsidRPr="00C25745">
        <w:rPr>
          <w:rFonts w:ascii="Times New Roman" w:eastAsia="Times New Roman" w:hAnsi="Times New Roman"/>
          <w:sz w:val="24"/>
        </w:rPr>
        <w:t xml:space="preserve"> Сейчас, конечно, </w:t>
      </w:r>
      <w:r w:rsidR="0071766B">
        <w:rPr>
          <w:rFonts w:ascii="Times New Roman" w:eastAsia="Times New Roman" w:hAnsi="Times New Roman"/>
          <w:sz w:val="24"/>
        </w:rPr>
        <w:t xml:space="preserve"> </w:t>
      </w:r>
      <w:r w:rsidRPr="00C25745">
        <w:rPr>
          <w:rFonts w:ascii="Times New Roman" w:eastAsia="Times New Roman" w:hAnsi="Times New Roman"/>
          <w:sz w:val="24"/>
        </w:rPr>
        <w:t>кризис, но грех жаловаться, система образования финансируется исправно.</w:t>
      </w:r>
      <w:r w:rsidR="001B5F98" w:rsidRPr="00C25745">
        <w:rPr>
          <w:rFonts w:ascii="Times New Roman" w:eastAsia="Times New Roman" w:hAnsi="Times New Roman"/>
          <w:sz w:val="24"/>
        </w:rPr>
        <w:t xml:space="preserve"> </w:t>
      </w:r>
      <w:r w:rsidRPr="00C25745">
        <w:rPr>
          <w:rFonts w:ascii="Times New Roman" w:eastAsia="Times New Roman" w:hAnsi="Times New Roman"/>
          <w:sz w:val="24"/>
        </w:rPr>
        <w:t>Но на образование ежегодно выделяется весьма значительная, да еще и постоянно растущая, сумма. Куда уходят эти деньги?</w:t>
      </w:r>
      <w:r w:rsidR="001B5F98" w:rsidRPr="00C25745">
        <w:rPr>
          <w:rFonts w:ascii="Times New Roman" w:eastAsia="Times New Roman" w:hAnsi="Times New Roman"/>
          <w:sz w:val="24"/>
        </w:rPr>
        <w:t xml:space="preserve"> </w:t>
      </w:r>
      <w:r w:rsidR="00A67C68" w:rsidRPr="00C25745">
        <w:rPr>
          <w:rFonts w:ascii="Times New Roman" w:eastAsia="Times New Roman" w:hAnsi="Times New Roman"/>
          <w:sz w:val="24"/>
        </w:rPr>
        <w:t>Есть такое понятие «непроизводственные расходы»</w:t>
      </w:r>
      <w:r w:rsidRPr="00C25745">
        <w:rPr>
          <w:rFonts w:ascii="Times New Roman" w:eastAsia="Times New Roman" w:hAnsi="Times New Roman"/>
          <w:sz w:val="24"/>
        </w:rPr>
        <w:t>. В нашем случае это расходы, не связанные с обучением детей.</w:t>
      </w:r>
      <w:r w:rsidR="00A423DA" w:rsidRPr="00C25745">
        <w:rPr>
          <w:rFonts w:ascii="Times New Roman" w:eastAsia="Times New Roman" w:hAnsi="Times New Roman"/>
          <w:sz w:val="24"/>
        </w:rPr>
        <w:t xml:space="preserve"> </w:t>
      </w:r>
      <w:r w:rsidR="001B5F98" w:rsidRPr="00C25745">
        <w:rPr>
          <w:rFonts w:ascii="Times New Roman" w:eastAsia="Times New Roman" w:hAnsi="Times New Roman"/>
          <w:sz w:val="24"/>
        </w:rPr>
        <w:t xml:space="preserve"> </w:t>
      </w:r>
      <w:r w:rsidRPr="00C25745">
        <w:rPr>
          <w:rFonts w:ascii="Times New Roman" w:eastAsia="Times New Roman" w:hAnsi="Times New Roman"/>
          <w:sz w:val="24"/>
        </w:rPr>
        <w:t>Много ли ч</w:t>
      </w:r>
      <w:r w:rsidR="001B5F98" w:rsidRPr="00C25745">
        <w:rPr>
          <w:rFonts w:ascii="Times New Roman" w:eastAsia="Times New Roman" w:hAnsi="Times New Roman"/>
          <w:sz w:val="24"/>
        </w:rPr>
        <w:t>иновников кормится от школы? Посчитайте, сколько работников в управлениях образования, методических центрах, академиях повышения квалификации, основная задача которых состоит в изготовлении положений, инструкций, приказов, писем</w:t>
      </w:r>
      <w:r w:rsidR="001938C7" w:rsidRPr="00C25745">
        <w:rPr>
          <w:rFonts w:ascii="Times New Roman" w:eastAsia="Times New Roman" w:hAnsi="Times New Roman"/>
          <w:sz w:val="24"/>
        </w:rPr>
        <w:t>, анкет</w:t>
      </w:r>
      <w:r w:rsidR="001B5F98" w:rsidRPr="00C25745">
        <w:rPr>
          <w:rFonts w:ascii="Times New Roman" w:eastAsia="Times New Roman" w:hAnsi="Times New Roman"/>
          <w:sz w:val="24"/>
        </w:rPr>
        <w:t xml:space="preserve"> и т. д.</w:t>
      </w:r>
      <w:r w:rsidR="005D5232" w:rsidRPr="00C25745">
        <w:rPr>
          <w:rFonts w:ascii="Times New Roman" w:eastAsia="Times New Roman" w:hAnsi="Times New Roman"/>
          <w:sz w:val="24"/>
        </w:rPr>
        <w:t xml:space="preserve"> Их работа не связана напрямую с детьми, для них главное - учёт и контроль, безответственность за положение дел в образовании. </w:t>
      </w:r>
      <w:r w:rsidRPr="00C25745">
        <w:rPr>
          <w:rFonts w:ascii="Times New Roman" w:eastAsia="Times New Roman" w:hAnsi="Times New Roman"/>
          <w:sz w:val="24"/>
        </w:rPr>
        <w:t xml:space="preserve">Олимпиады, конкурсы, марафоны, конференции, проекты, спортивные соревнования. </w:t>
      </w:r>
      <w:r w:rsidR="005D5232" w:rsidRPr="00C25745">
        <w:rPr>
          <w:rFonts w:ascii="Times New Roman" w:eastAsia="Times New Roman" w:hAnsi="Times New Roman"/>
          <w:sz w:val="24"/>
        </w:rPr>
        <w:t xml:space="preserve"> </w:t>
      </w:r>
      <w:r w:rsidR="005D7FA0" w:rsidRPr="00C25745">
        <w:rPr>
          <w:rFonts w:ascii="Times New Roman" w:eastAsia="Times New Roman" w:hAnsi="Times New Roman"/>
          <w:sz w:val="24"/>
        </w:rPr>
        <w:t>Проведённое по инициативе Всероссийского педагогического собрания исследование истоков вала бумаг,  дало следующие результаты. Установлены главные источники этой беды: львиную долю бумаг создают чиновники  от образования нижнего</w:t>
      </w:r>
      <w:r w:rsidR="003D5FBB" w:rsidRPr="00C25745">
        <w:rPr>
          <w:rFonts w:ascii="Times New Roman" w:eastAsia="Times New Roman" w:hAnsi="Times New Roman"/>
          <w:sz w:val="24"/>
        </w:rPr>
        <w:t>,</w:t>
      </w:r>
      <w:r w:rsidR="005D7FA0" w:rsidRPr="00C25745">
        <w:rPr>
          <w:rFonts w:ascii="Times New Roman" w:eastAsia="Times New Roman" w:hAnsi="Times New Roman"/>
          <w:sz w:val="24"/>
        </w:rPr>
        <w:t xml:space="preserve"> </w:t>
      </w:r>
      <w:r w:rsidR="0071766B">
        <w:rPr>
          <w:rFonts w:ascii="Times New Roman" w:eastAsia="Times New Roman" w:hAnsi="Times New Roman"/>
          <w:sz w:val="24"/>
        </w:rPr>
        <w:t xml:space="preserve"> </w:t>
      </w:r>
      <w:r w:rsidR="005D7FA0" w:rsidRPr="00C25745">
        <w:rPr>
          <w:rFonts w:ascii="Times New Roman" w:eastAsia="Times New Roman" w:hAnsi="Times New Roman"/>
          <w:color w:val="000000"/>
          <w:sz w:val="24"/>
        </w:rPr>
        <w:t>муниципального уровня. При этом объём переписки этих чиновников зависит от их численности. От учителей чиновники требуют 13 форм отчёта, включая отчёты классных руководителей, планы</w:t>
      </w:r>
      <w:r w:rsidR="0071766B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5D7FA0" w:rsidRPr="00C25745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5D7FA0" w:rsidRPr="00C25745">
        <w:rPr>
          <w:rFonts w:ascii="Times New Roman" w:eastAsia="Times New Roman" w:hAnsi="Times New Roman"/>
          <w:color w:val="000000"/>
          <w:sz w:val="24"/>
        </w:rPr>
        <w:t>внеучебной</w:t>
      </w:r>
      <w:proofErr w:type="spellEnd"/>
      <w:r w:rsidR="005D7FA0" w:rsidRPr="00C25745">
        <w:rPr>
          <w:rFonts w:ascii="Times New Roman" w:eastAsia="Times New Roman" w:hAnsi="Times New Roman"/>
          <w:color w:val="000000"/>
          <w:sz w:val="24"/>
        </w:rPr>
        <w:t xml:space="preserve"> работы, сведения о питании учащихся, результатах внешкольной деятельности обучающихся и т.д. Интересно, куда идут эти сведения, кто-нибудь их читает, анализирует? </w:t>
      </w:r>
      <w:r w:rsidR="0071766B">
        <w:rPr>
          <w:rFonts w:ascii="Times New Roman" w:eastAsia="Times New Roman" w:hAnsi="Times New Roman"/>
          <w:sz w:val="24"/>
        </w:rPr>
        <w:t xml:space="preserve"> </w:t>
      </w:r>
      <w:r w:rsidR="002A721D" w:rsidRPr="00C25745">
        <w:rPr>
          <w:rFonts w:ascii="Times New Roman" w:eastAsia="Times New Roman" w:hAnsi="Times New Roman"/>
          <w:color w:val="000000"/>
          <w:sz w:val="24"/>
        </w:rPr>
        <w:t xml:space="preserve">В бумагах все распрекрасно: конференции, форумы, инновации, экспериментальные площадки, ФГОС, но ученикам это не прибавляет знаний, умений, навыков. Это нужно администрации для имиджа образовательной организации, учителям для аттестации, при которой </w:t>
      </w:r>
      <w:r w:rsidR="002A721D" w:rsidRPr="00C25745">
        <w:rPr>
          <w:rFonts w:ascii="Times New Roman" w:hAnsi="Times New Roman"/>
          <w:sz w:val="24"/>
        </w:rPr>
        <w:t xml:space="preserve"> один из главных показателей  уровень качества знаний </w:t>
      </w:r>
      <w:proofErr w:type="gramStart"/>
      <w:r w:rsidR="002A721D" w:rsidRPr="00C25745">
        <w:rPr>
          <w:rFonts w:ascii="Times New Roman" w:hAnsi="Times New Roman"/>
          <w:sz w:val="24"/>
        </w:rPr>
        <w:t xml:space="preserve">( </w:t>
      </w:r>
      <w:proofErr w:type="gramEnd"/>
      <w:r w:rsidR="002A721D" w:rsidRPr="00C25745">
        <w:rPr>
          <w:rFonts w:ascii="Times New Roman" w:hAnsi="Times New Roman"/>
          <w:sz w:val="24"/>
        </w:rPr>
        <w:t>в динамике з</w:t>
      </w:r>
      <w:r w:rsidR="0071766B">
        <w:rPr>
          <w:rFonts w:ascii="Times New Roman" w:hAnsi="Times New Roman"/>
          <w:sz w:val="24"/>
        </w:rPr>
        <w:t xml:space="preserve">а последние 5 лет).  Чиновниками от образования придумана </w:t>
      </w:r>
      <w:r w:rsidR="002A721D" w:rsidRPr="00C25745">
        <w:rPr>
          <w:rFonts w:ascii="Times New Roman" w:hAnsi="Times New Roman"/>
          <w:sz w:val="24"/>
        </w:rPr>
        <w:t>шкала уровней качества знаний учащихся с учётом статуса образовательной организации. (Приложение 1).</w:t>
      </w:r>
    </w:p>
    <w:p w:rsidR="002A721D" w:rsidRDefault="002A721D" w:rsidP="002A7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AA1" w:rsidRDefault="002A721D" w:rsidP="002A7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5D5232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только конкурсы не</w:t>
      </w:r>
      <w:r w:rsidR="00A67C68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придумают чиновники!  Конкурсы</w:t>
      </w:r>
      <w:r w:rsidR="005D5232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4053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“Учитель года”</w:t>
      </w:r>
      <w:r w:rsidR="005D5232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«Самая классная </w:t>
      </w:r>
      <w:proofErr w:type="gramStart"/>
      <w:r w:rsidR="005D5232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классная</w:t>
      </w:r>
      <w:proofErr w:type="gramEnd"/>
      <w:r w:rsidR="005D5232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»…</w:t>
      </w:r>
      <w:r w:rsidR="00844053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конкурсы загоняют в приказном порядке, заман</w:t>
      </w:r>
      <w:r w:rsidR="005D5232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ивают обещанием премий,  разрядов…  Модными стали в последние годы так называемые проекты. Посмотрев десятки таких проектов, п</w:t>
      </w:r>
      <w:r w:rsidR="0002012E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ришёл к выводу, </w:t>
      </w:r>
      <w:r w:rsidR="005D5232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012E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они - вершина тупости и глупости проектантов, консультантов.  Попробуйте назвать хоть один проект, который был применён на </w:t>
      </w:r>
      <w:r w:rsidR="00507910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практике и получил практический </w:t>
      </w:r>
      <w:r w:rsidR="0002012E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результат.  Зато есть сотни и тысячи бумаг, мёртвым грузом лежащих в кабинетах, превращённых в офисы.</w:t>
      </w:r>
      <w:r w:rsidR="00A67C68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7910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презентации,</w:t>
      </w:r>
      <w:r w:rsidR="00A423DA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проекты,</w:t>
      </w:r>
      <w:r w:rsidR="005C169F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анкеты</w:t>
      </w:r>
      <w:proofErr w:type="gramStart"/>
      <w:r w:rsidR="005C169F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7910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A423DA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подменяющие тяжелый труд учебы на поверхностное “ознакомление”, навязываются школам последние годы лет. Они прекрасно согласуются с запретом на двойки и порождают неучей поколение за поколением.  </w:t>
      </w:r>
      <w:r w:rsidR="00717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каждым </w:t>
      </w:r>
      <w:proofErr w:type="spellStart"/>
      <w:r w:rsidR="00717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гшодом</w:t>
      </w:r>
      <w:proofErr w:type="spellEnd"/>
      <w:r w:rsidR="00717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становится </w:t>
      </w:r>
      <w:r w:rsidR="00A67C68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</w:t>
      </w:r>
      <w:proofErr w:type="gramStart"/>
      <w:r w:rsidR="00717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дури</w:t>
      </w:r>
      <w:proofErr w:type="gramEnd"/>
      <w:r w:rsidR="00717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бумаг</w:t>
      </w:r>
      <w:r w:rsidR="00A67C68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721D" w:rsidRPr="00C25745" w:rsidRDefault="002A721D" w:rsidP="00001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348" w:rsidRPr="00C25745" w:rsidRDefault="00A67C68" w:rsidP="00001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4053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как великое достижение преподнос</w:t>
      </w:r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ится профильное обучение. Пятнадцать </w:t>
      </w:r>
      <w:r w:rsidR="00844053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назад стало ясно, что школьную программу дети не усваивают, да и усвоить не могут. И тогда решили организовать обучение следующим образом. Два предмета ученик изучает на профильном уровне (в объеме нормальной программы). Остальные — на ознакомительном</w:t>
      </w:r>
      <w:r w:rsidR="00717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</w:t>
      </w:r>
      <w:r w:rsidR="00844053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C3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4053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русского языка, обязательного в полном объеме для всех (позже к нему добавили и математику).</w:t>
      </w:r>
      <w:r w:rsidR="00A423DA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3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4053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Идея хорошая, но она требовала выделения профильной школы (10—11-е </w:t>
      </w:r>
      <w:r w:rsidR="00844053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классы) в самостоятельное учреждение, которое могло сформировать достаточное количество классов с любыми комбинациями профильных предметов. Но это показалось чересчур хлопотным, и обязанность открыть профильные классы попросту повесили на школы. Но смешанная школа, в которой учатся с 1-го по 11-й класс, может открыть один-два профильных класса. В эти классы и идут все ее выпускники по самым разным причинам. Подавляющему большинству эти профили и не нужны вовсе, так как к концу 9-го класса (моменту выбора профиля) они даже не представляют, что им будет нужно, другие не хотят ух</w:t>
      </w:r>
      <w:r w:rsidR="00A423DA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одить из родной школы, третьи</w:t>
      </w:r>
      <w:r w:rsidR="00FC3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23DA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потому что пошли другие.</w:t>
      </w:r>
    </w:p>
    <w:p w:rsidR="002A721D" w:rsidRDefault="002A721D" w:rsidP="00001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016348" w:rsidRDefault="00CE40C0" w:rsidP="00001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Новым  требованием является сделать </w:t>
      </w:r>
      <w:proofErr w:type="spellStart"/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портфолио</w:t>
      </w:r>
      <w:proofErr w:type="spellEnd"/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на ребенка, </w:t>
      </w:r>
      <w:r w:rsidR="00785B35"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эта </w:t>
      </w:r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proofErr w:type="gramStart"/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показуха</w:t>
      </w:r>
      <w:proofErr w:type="gramEnd"/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уже приобрела определенные масштабы.  В качестве эксперимента  школы обязаны собирать и вести на учеников некое досье, где будут перечисляться увлечен</w:t>
      </w:r>
      <w:r w:rsidR="005C169F"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ия, хобби, награды, победы и </w:t>
      </w:r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ученика. Эта папочка дол</w:t>
      </w:r>
      <w:r w:rsidR="00785B35"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жна вестись все </w:t>
      </w:r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11 лет, в идеале ученик должен туда вписывать, вплоть до, цитирую "удачно написанных контрольных работ", оценки успеваемости, участие (не обязательно победа) в различных конкурсах (будь то соревнования внутри школы-класса, будь то российская олимпиада). Сейчас дошло до того, что родители делают </w:t>
      </w:r>
      <w:proofErr w:type="spellStart"/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портфолио</w:t>
      </w:r>
      <w:proofErr w:type="spellEnd"/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на компьютере, распечатывают все в цвете, красочно оформлено, с фотографиями, вырезками и т</w:t>
      </w:r>
      <w:r w:rsidR="005C169F"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</w:t>
      </w:r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п. Нужно ли для развития ребенка подобное введение? Будет ли результатом этого более углубленное изучени</w:t>
      </w:r>
      <w:proofErr w:type="gramStart"/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е(</w:t>
      </w:r>
      <w:proofErr w:type="gramEnd"/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освоение) предмета(увлечения) ребенка или это начнется погоня за новыми листами </w:t>
      </w:r>
      <w:proofErr w:type="spellStart"/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портфолио</w:t>
      </w:r>
      <w:proofErr w:type="spellEnd"/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? Да, кстати, школы  стали проводить конкурс среди </w:t>
      </w:r>
      <w:proofErr w:type="spellStart"/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портфолио</w:t>
      </w:r>
      <w:proofErr w:type="spellEnd"/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 по которым выявляется лучший ученик в той или иной номинации. Чем чревато такое себялюбие в столь раннем возрасте?  Это действительно может дать толчок в развитии творческих способностей ребенка</w:t>
      </w:r>
      <w:proofErr w:type="gramStart"/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?</w:t>
      </w:r>
      <w:proofErr w:type="gramEnd"/>
      <w:r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785B35"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 А что делать детям, не проявившим себя в учебе? Не </w:t>
      </w:r>
      <w:proofErr w:type="gramStart"/>
      <w:r w:rsidR="00785B35"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участвовавшим</w:t>
      </w:r>
      <w:proofErr w:type="gramEnd"/>
      <w:r w:rsidR="00785B35"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в олимпиадах, конкурсах и прочих мероприятиях? Ведь хорошо учиться и активно участвовать в общественной жизни - это совсем не обязательное условие для того, чтобы стать приличным и порядочным человеком. Получается, что у подобного ребенка будем весьма жалкое </w:t>
      </w:r>
      <w:proofErr w:type="spellStart"/>
      <w:r w:rsidR="00785B35"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портфолио</w:t>
      </w:r>
      <w:proofErr w:type="spellEnd"/>
      <w:r w:rsidR="00785B35" w:rsidRPr="00C257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 которым будет весьма проблематично гордиться, не появится ли у него комплекс неполноценности из-за такой ерунды? </w:t>
      </w:r>
    </w:p>
    <w:p w:rsidR="002A721D" w:rsidRPr="00C25745" w:rsidRDefault="002A721D" w:rsidP="00001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4053" w:rsidRPr="00C25745" w:rsidRDefault="00844053" w:rsidP="002A72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снова реформируют образовательные стандарты. Для начальных классов их уже разработали. Удивительно, но в них нет содержания. Что именно должны выучить дети, ими не определяется.</w:t>
      </w:r>
      <w:r w:rsidR="00A67C68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определяют требования к результатам, причем большинство результатов, по словам самих разработчиков, “отслеживаются, но не оцениваются”. Что это такое, не понимает никто, кроме разработчиков. Выпускник 4-го класса (по новым стандартам) не обязан знать таблицу умножения или правописание “</w:t>
      </w:r>
      <w:proofErr w:type="spellStart"/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и “</w:t>
      </w:r>
      <w:proofErr w:type="spellStart"/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proofErr w:type="spellEnd"/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но он должен уметь делать проекты, презентации и выступать перед аудиторией.</w:t>
      </w:r>
      <w:r w:rsidR="001938C7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ни больше и ни меньше.</w:t>
      </w:r>
      <w:r w:rsidR="002A7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Складывается впечатление, что школа в России осознанно и целенаправленно уничтожается. Вначале (в 90-х) ее оставили без денег, кадровые потери были катастрофическими. В школе остались фанаты своего дела и те, кто больше ничего не умеет и ничему не может научиться. На смену ушедшему слою активных профессионалов пришли </w:t>
      </w:r>
      <w:proofErr w:type="gramStart"/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несостоявшиеся</w:t>
      </w:r>
      <w:proofErr w:type="gramEnd"/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новых условиях. Постепенно все стабилизировалось, хотя и на более низком уровне. Выжила школа! Даже наметился некоторый рост. Тогда ее стали разваливать изнутри: чиновничий </w:t>
      </w:r>
      <w:proofErr w:type="gramStart"/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беспредел</w:t>
      </w:r>
      <w:proofErr w:type="gramEnd"/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17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псевдонаука</w:t>
      </w:r>
      <w:proofErr w:type="spellEnd"/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17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извращение моральных основ учительской профессии (ложь отметок), вал бумаг, вал ненужной деятельности и фактически запрещение требовать от ученика качественной учебы.</w:t>
      </w:r>
      <w:r w:rsidR="00A67C68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Нужны ли России грамотные люди? Чиновничьей России — нет!</w:t>
      </w:r>
      <w:r w:rsidR="00A67C68" w:rsidRPr="00C2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Полуграмотным и неграмотным народом чиновникам легче управлять!</w:t>
      </w:r>
    </w:p>
    <w:p w:rsidR="005C169F" w:rsidRPr="00C25745" w:rsidRDefault="005C169F" w:rsidP="00001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169F" w:rsidRPr="00C25745" w:rsidRDefault="005C169F" w:rsidP="00CB3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2A721D" w:rsidRDefault="002A721D" w:rsidP="002A7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053" w:rsidRDefault="0071766B" w:rsidP="002A7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r w:rsidR="00FC3A86">
        <w:rPr>
          <w:rFonts w:ascii="Times New Roman" w:hAnsi="Times New Roman" w:cs="Times New Roman"/>
          <w:sz w:val="24"/>
          <w:szCs w:val="24"/>
        </w:rPr>
        <w:t xml:space="preserve"> </w:t>
      </w:r>
      <w:r w:rsidR="00965FA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65FA2" w:rsidRPr="00C25745" w:rsidRDefault="00965FA2" w:rsidP="00CB3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08"/>
        <w:gridCol w:w="2310"/>
        <w:gridCol w:w="3747"/>
        <w:gridCol w:w="1766"/>
        <w:gridCol w:w="1650"/>
        <w:gridCol w:w="1598"/>
      </w:tblGrid>
      <w:tr w:rsidR="003D5FBB" w:rsidRPr="00C25745" w:rsidTr="00A549BB">
        <w:trPr>
          <w:trHeight w:val="20"/>
          <w:jc w:val="center"/>
        </w:trPr>
        <w:tc>
          <w:tcPr>
            <w:tcW w:w="4708" w:type="dxa"/>
            <w:vMerge w:val="restart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25745">
              <w:rPr>
                <w:rFonts w:ascii="Times New Roman" w:hAnsi="Times New Roman"/>
                <w:b/>
                <w:sz w:val="24"/>
              </w:rPr>
              <w:t>Статус  образовательной организации</w:t>
            </w:r>
          </w:p>
        </w:tc>
        <w:tc>
          <w:tcPr>
            <w:tcW w:w="6057" w:type="dxa"/>
            <w:gridSpan w:val="2"/>
            <w:vMerge w:val="restart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25745">
              <w:rPr>
                <w:rFonts w:ascii="Times New Roman" w:hAnsi="Times New Roman"/>
                <w:b/>
                <w:sz w:val="24"/>
              </w:rPr>
              <w:t>Профиль/предметная область</w:t>
            </w:r>
          </w:p>
        </w:tc>
        <w:tc>
          <w:tcPr>
            <w:tcW w:w="5014" w:type="dxa"/>
            <w:gridSpan w:val="3"/>
            <w:vAlign w:val="center"/>
          </w:tcPr>
          <w:p w:rsidR="003D5FBB" w:rsidRPr="00C25745" w:rsidRDefault="003D5FBB" w:rsidP="00CB3C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b/>
                <w:sz w:val="24"/>
                <w:szCs w:val="24"/>
              </w:rPr>
              <w:t>Уровни качества знаний учащихся</w:t>
            </w:r>
          </w:p>
        </w:tc>
      </w:tr>
      <w:tr w:rsidR="003D5FBB" w:rsidRPr="00C25745" w:rsidTr="00A549BB">
        <w:trPr>
          <w:trHeight w:val="20"/>
          <w:jc w:val="center"/>
        </w:trPr>
        <w:tc>
          <w:tcPr>
            <w:tcW w:w="4708" w:type="dxa"/>
            <w:vMerge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057" w:type="dxa"/>
            <w:gridSpan w:val="2"/>
            <w:vMerge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25745">
              <w:rPr>
                <w:rFonts w:ascii="Times New Roman" w:hAnsi="Times New Roman"/>
                <w:b/>
                <w:sz w:val="24"/>
              </w:rPr>
              <w:t>Низкое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25745">
              <w:rPr>
                <w:rFonts w:ascii="Times New Roman" w:hAnsi="Times New Roman"/>
                <w:b/>
                <w:sz w:val="24"/>
              </w:rPr>
              <w:t>Среднее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25745">
              <w:rPr>
                <w:rFonts w:ascii="Times New Roman" w:hAnsi="Times New Roman"/>
                <w:b/>
                <w:sz w:val="24"/>
              </w:rPr>
              <w:t>Высокое</w:t>
            </w:r>
          </w:p>
        </w:tc>
      </w:tr>
      <w:tr w:rsidR="003D5FBB" w:rsidRPr="00C25745" w:rsidTr="00A549BB">
        <w:trPr>
          <w:trHeight w:val="94"/>
          <w:jc w:val="center"/>
        </w:trPr>
        <w:tc>
          <w:tcPr>
            <w:tcW w:w="4708" w:type="dxa"/>
            <w:vMerge w:val="restart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C25745">
              <w:rPr>
                <w:rFonts w:ascii="Times New Roman" w:hAnsi="Times New Roman"/>
                <w:i/>
                <w:sz w:val="24"/>
              </w:rPr>
              <w:t xml:space="preserve">Для образовательных организаций  повышенного статуса, а также общеобразовательных школ с лицейскими и/или гимназическими классами </w:t>
            </w:r>
            <w:r w:rsidRPr="00C25745">
              <w:rPr>
                <w:rFonts w:ascii="Times New Roman" w:hAnsi="Times New Roman"/>
                <w:i/>
                <w:sz w:val="24"/>
              </w:rPr>
              <w:br/>
              <w:t>(по предметам профильной направленност</w:t>
            </w:r>
            <w:r w:rsidR="002A721D">
              <w:rPr>
                <w:rFonts w:ascii="Times New Roman" w:hAnsi="Times New Roman"/>
                <w:i/>
                <w:sz w:val="24"/>
              </w:rPr>
              <w:t>и)</w:t>
            </w:r>
          </w:p>
        </w:tc>
        <w:tc>
          <w:tcPr>
            <w:tcW w:w="2310" w:type="dxa"/>
            <w:vMerge w:val="restart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i/>
                <w:sz w:val="24"/>
              </w:rPr>
              <w:t>Профиль/профильные предметы образовательных организаций</w:t>
            </w:r>
          </w:p>
        </w:tc>
        <w:tc>
          <w:tcPr>
            <w:tcW w:w="3747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C25745">
              <w:rPr>
                <w:rFonts w:ascii="Times New Roman" w:hAnsi="Times New Roman"/>
                <w:sz w:val="24"/>
              </w:rPr>
              <w:t>естественнонаучный, технический</w:t>
            </w:r>
          </w:p>
        </w:tc>
        <w:tc>
          <w:tcPr>
            <w:tcW w:w="1766" w:type="dxa"/>
            <w:tcBorders>
              <w:top w:val="nil"/>
            </w:tcBorders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39% и ниже</w:t>
            </w:r>
          </w:p>
        </w:tc>
        <w:tc>
          <w:tcPr>
            <w:tcW w:w="1650" w:type="dxa"/>
            <w:tcBorders>
              <w:top w:val="nil"/>
            </w:tcBorders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от 40%  до 69%</w:t>
            </w:r>
          </w:p>
        </w:tc>
        <w:tc>
          <w:tcPr>
            <w:tcW w:w="1598" w:type="dxa"/>
            <w:tcBorders>
              <w:top w:val="nil"/>
            </w:tcBorders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70 % и выше</w:t>
            </w:r>
          </w:p>
        </w:tc>
      </w:tr>
      <w:tr w:rsidR="003D5FBB" w:rsidRPr="00C25745" w:rsidTr="00A549BB">
        <w:trPr>
          <w:trHeight w:val="366"/>
          <w:jc w:val="center"/>
        </w:trPr>
        <w:tc>
          <w:tcPr>
            <w:tcW w:w="4708" w:type="dxa"/>
            <w:vMerge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47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C25745">
              <w:rPr>
                <w:rFonts w:ascii="Times New Roman" w:hAnsi="Times New Roman"/>
                <w:sz w:val="24"/>
              </w:rPr>
              <w:t>социально-экономический, гуманитарный</w:t>
            </w:r>
          </w:p>
        </w:tc>
        <w:tc>
          <w:tcPr>
            <w:tcW w:w="1766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59% и ниже</w:t>
            </w:r>
          </w:p>
        </w:tc>
        <w:tc>
          <w:tcPr>
            <w:tcW w:w="1650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от 60% до 79%</w:t>
            </w:r>
          </w:p>
        </w:tc>
        <w:tc>
          <w:tcPr>
            <w:tcW w:w="1598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80% и выше</w:t>
            </w:r>
          </w:p>
        </w:tc>
      </w:tr>
      <w:tr w:rsidR="003D5FBB" w:rsidRPr="00C25745" w:rsidTr="00A549BB">
        <w:trPr>
          <w:trHeight w:val="20"/>
          <w:jc w:val="center"/>
        </w:trPr>
        <w:tc>
          <w:tcPr>
            <w:tcW w:w="4708" w:type="dxa"/>
            <w:vMerge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47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C25745">
              <w:rPr>
                <w:rFonts w:ascii="Times New Roman" w:hAnsi="Times New Roman"/>
                <w:sz w:val="24"/>
              </w:rPr>
              <w:t xml:space="preserve">технология, музыка, </w:t>
            </w:r>
            <w:proofErr w:type="gramStart"/>
            <w:r w:rsidRPr="00C25745">
              <w:rPr>
                <w:rFonts w:ascii="Times New Roman" w:hAnsi="Times New Roman"/>
                <w:sz w:val="24"/>
              </w:rPr>
              <w:t>ИЗО</w:t>
            </w:r>
            <w:proofErr w:type="gramEnd"/>
            <w:r w:rsidRPr="00C25745">
              <w:rPr>
                <w:rFonts w:ascii="Times New Roman" w:hAnsi="Times New Roman"/>
                <w:sz w:val="24"/>
              </w:rPr>
              <w:t>, физкультура</w:t>
            </w:r>
          </w:p>
        </w:tc>
        <w:tc>
          <w:tcPr>
            <w:tcW w:w="1766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59%  и ниже</w:t>
            </w:r>
          </w:p>
        </w:tc>
        <w:tc>
          <w:tcPr>
            <w:tcW w:w="1650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от 60%  до 85%</w:t>
            </w:r>
          </w:p>
        </w:tc>
        <w:tc>
          <w:tcPr>
            <w:tcW w:w="1598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86 % и выше</w:t>
            </w:r>
          </w:p>
        </w:tc>
      </w:tr>
      <w:tr w:rsidR="003D5FBB" w:rsidRPr="00C25745" w:rsidTr="00A549BB">
        <w:trPr>
          <w:trHeight w:val="132"/>
          <w:jc w:val="center"/>
        </w:trPr>
        <w:tc>
          <w:tcPr>
            <w:tcW w:w="4708" w:type="dxa"/>
            <w:vMerge w:val="restart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C25745">
              <w:rPr>
                <w:rFonts w:ascii="Times New Roman" w:hAnsi="Times New Roman"/>
                <w:i/>
                <w:sz w:val="24"/>
              </w:rPr>
              <w:t>Для общеобразовательных школ, а также для образовательных организаций  повышенного статуса по непрофильным предметам</w:t>
            </w:r>
          </w:p>
        </w:tc>
        <w:tc>
          <w:tcPr>
            <w:tcW w:w="2310" w:type="dxa"/>
            <w:vMerge w:val="restart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i/>
                <w:sz w:val="24"/>
              </w:rPr>
              <w:t>Непрофильные предметы образовательных организаций  повышенного статуса</w:t>
            </w:r>
          </w:p>
        </w:tc>
        <w:tc>
          <w:tcPr>
            <w:tcW w:w="3747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C25745">
              <w:rPr>
                <w:rFonts w:ascii="Times New Roman" w:hAnsi="Times New Roman"/>
                <w:sz w:val="24"/>
              </w:rPr>
              <w:t>предметы естественнонаучной, технической направленности</w:t>
            </w:r>
          </w:p>
        </w:tc>
        <w:tc>
          <w:tcPr>
            <w:tcW w:w="1766" w:type="dxa"/>
            <w:tcBorders>
              <w:top w:val="nil"/>
            </w:tcBorders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32%</w:t>
            </w:r>
            <w:r w:rsidRPr="00C25745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C25745">
              <w:rPr>
                <w:rFonts w:ascii="Times New Roman" w:hAnsi="Times New Roman"/>
                <w:sz w:val="24"/>
              </w:rPr>
              <w:t>и ниже</w:t>
            </w:r>
          </w:p>
        </w:tc>
        <w:tc>
          <w:tcPr>
            <w:tcW w:w="1650" w:type="dxa"/>
            <w:tcBorders>
              <w:top w:val="nil"/>
            </w:tcBorders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от 33%</w:t>
            </w:r>
            <w:r w:rsidRPr="00C25745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C25745">
              <w:rPr>
                <w:rFonts w:ascii="Times New Roman" w:hAnsi="Times New Roman"/>
                <w:sz w:val="24"/>
              </w:rPr>
              <w:t>до 55%</w:t>
            </w:r>
          </w:p>
        </w:tc>
        <w:tc>
          <w:tcPr>
            <w:tcW w:w="1598" w:type="dxa"/>
            <w:tcBorders>
              <w:top w:val="nil"/>
            </w:tcBorders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56 % и выше</w:t>
            </w:r>
          </w:p>
        </w:tc>
      </w:tr>
      <w:tr w:rsidR="003D5FBB" w:rsidRPr="00C25745" w:rsidTr="00A549BB">
        <w:trPr>
          <w:trHeight w:val="20"/>
          <w:jc w:val="center"/>
        </w:trPr>
        <w:tc>
          <w:tcPr>
            <w:tcW w:w="4708" w:type="dxa"/>
            <w:vMerge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47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C25745">
              <w:rPr>
                <w:rFonts w:ascii="Times New Roman" w:hAnsi="Times New Roman"/>
                <w:sz w:val="24"/>
              </w:rPr>
              <w:t>предметы социально-экономической, гуманитарной  направленности</w:t>
            </w:r>
          </w:p>
        </w:tc>
        <w:tc>
          <w:tcPr>
            <w:tcW w:w="1766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40% и ниже</w:t>
            </w:r>
          </w:p>
        </w:tc>
        <w:tc>
          <w:tcPr>
            <w:tcW w:w="1650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от 41% до 65%</w:t>
            </w:r>
          </w:p>
        </w:tc>
        <w:tc>
          <w:tcPr>
            <w:tcW w:w="1598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66% и выше</w:t>
            </w:r>
          </w:p>
        </w:tc>
      </w:tr>
      <w:tr w:rsidR="003D5FBB" w:rsidRPr="00C25745" w:rsidTr="00A549BB">
        <w:trPr>
          <w:trHeight w:val="20"/>
          <w:jc w:val="center"/>
        </w:trPr>
        <w:tc>
          <w:tcPr>
            <w:tcW w:w="4708" w:type="dxa"/>
            <w:vMerge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47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C25745">
              <w:rPr>
                <w:rFonts w:ascii="Times New Roman" w:hAnsi="Times New Roman"/>
                <w:sz w:val="24"/>
              </w:rPr>
              <w:t xml:space="preserve">технология, музыка, </w:t>
            </w:r>
            <w:proofErr w:type="gramStart"/>
            <w:r w:rsidRPr="00C25745">
              <w:rPr>
                <w:rFonts w:ascii="Times New Roman" w:hAnsi="Times New Roman"/>
                <w:sz w:val="24"/>
              </w:rPr>
              <w:t>ИЗО</w:t>
            </w:r>
            <w:proofErr w:type="gramEnd"/>
            <w:r w:rsidRPr="00C25745">
              <w:rPr>
                <w:rFonts w:ascii="Times New Roman" w:hAnsi="Times New Roman"/>
                <w:sz w:val="24"/>
              </w:rPr>
              <w:t>, физкультура</w:t>
            </w:r>
          </w:p>
        </w:tc>
        <w:tc>
          <w:tcPr>
            <w:tcW w:w="1766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54% и ниже</w:t>
            </w:r>
          </w:p>
        </w:tc>
        <w:tc>
          <w:tcPr>
            <w:tcW w:w="1650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от 55% до 79%</w:t>
            </w:r>
          </w:p>
        </w:tc>
        <w:tc>
          <w:tcPr>
            <w:tcW w:w="1598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80%  и выше</w:t>
            </w:r>
          </w:p>
        </w:tc>
      </w:tr>
      <w:tr w:rsidR="003D5FBB" w:rsidRPr="00C25745" w:rsidTr="00A549BB">
        <w:trPr>
          <w:trHeight w:val="20"/>
          <w:jc w:val="center"/>
        </w:trPr>
        <w:tc>
          <w:tcPr>
            <w:tcW w:w="4708" w:type="dxa"/>
            <w:vMerge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057" w:type="dxa"/>
            <w:gridSpan w:val="2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C25745">
              <w:rPr>
                <w:rFonts w:ascii="Times New Roman" w:hAnsi="Times New Roman"/>
                <w:i/>
                <w:sz w:val="24"/>
              </w:rPr>
              <w:t>Общеобразовательные школы без профиля</w:t>
            </w:r>
          </w:p>
        </w:tc>
        <w:tc>
          <w:tcPr>
            <w:tcW w:w="1766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32%</w:t>
            </w:r>
            <w:r w:rsidRPr="00C25745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C25745">
              <w:rPr>
                <w:rFonts w:ascii="Times New Roman" w:hAnsi="Times New Roman"/>
                <w:sz w:val="24"/>
              </w:rPr>
              <w:t>и ниже</w:t>
            </w:r>
          </w:p>
        </w:tc>
        <w:tc>
          <w:tcPr>
            <w:tcW w:w="1650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от 33%</w:t>
            </w:r>
            <w:r w:rsidRPr="00C25745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C25745">
              <w:rPr>
                <w:rFonts w:ascii="Times New Roman" w:hAnsi="Times New Roman"/>
                <w:sz w:val="24"/>
              </w:rPr>
              <w:t>до 65%</w:t>
            </w:r>
          </w:p>
        </w:tc>
        <w:tc>
          <w:tcPr>
            <w:tcW w:w="1598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66 % и выше</w:t>
            </w:r>
          </w:p>
        </w:tc>
      </w:tr>
      <w:tr w:rsidR="003D5FBB" w:rsidRPr="00C25745" w:rsidTr="00A549BB">
        <w:trPr>
          <w:trHeight w:val="230"/>
          <w:jc w:val="center"/>
        </w:trPr>
        <w:tc>
          <w:tcPr>
            <w:tcW w:w="4708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25745">
              <w:rPr>
                <w:rFonts w:ascii="Times New Roman" w:hAnsi="Times New Roman"/>
                <w:i/>
                <w:sz w:val="24"/>
              </w:rPr>
              <w:t>Для общеобразовательных организаций с классами компенсирующего обучения</w:t>
            </w:r>
          </w:p>
        </w:tc>
        <w:tc>
          <w:tcPr>
            <w:tcW w:w="6057" w:type="dxa"/>
            <w:gridSpan w:val="2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C25745">
              <w:rPr>
                <w:rFonts w:ascii="Times New Roman" w:hAnsi="Times New Roman"/>
                <w:i/>
                <w:sz w:val="24"/>
              </w:rPr>
              <w:t>Без профиля</w:t>
            </w:r>
          </w:p>
        </w:tc>
        <w:tc>
          <w:tcPr>
            <w:tcW w:w="1766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19% и ниже</w:t>
            </w:r>
          </w:p>
        </w:tc>
        <w:tc>
          <w:tcPr>
            <w:tcW w:w="1650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от 20% до 29%</w:t>
            </w:r>
          </w:p>
        </w:tc>
        <w:tc>
          <w:tcPr>
            <w:tcW w:w="1598" w:type="dxa"/>
            <w:vAlign w:val="center"/>
          </w:tcPr>
          <w:p w:rsidR="003D5FBB" w:rsidRPr="00C25745" w:rsidRDefault="003D5FBB" w:rsidP="00CB3CA1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C25745">
              <w:rPr>
                <w:rFonts w:ascii="Times New Roman" w:hAnsi="Times New Roman"/>
                <w:sz w:val="24"/>
              </w:rPr>
              <w:t>30% и выше</w:t>
            </w:r>
          </w:p>
        </w:tc>
      </w:tr>
    </w:tbl>
    <w:p w:rsidR="003D5FBB" w:rsidRPr="00C25745" w:rsidRDefault="003D5FBB" w:rsidP="00CB3CA1">
      <w:pPr>
        <w:pStyle w:val="a3"/>
        <w:shd w:val="clear" w:color="auto" w:fill="FFFFFF"/>
        <w:spacing w:before="0" w:after="0"/>
        <w:ind w:firstLine="709"/>
        <w:jc w:val="both"/>
        <w:textAlignment w:val="top"/>
        <w:rPr>
          <w:rFonts w:ascii="Times New Roman" w:hAnsi="Times New Roman"/>
          <w:color w:val="000000"/>
          <w:sz w:val="24"/>
          <w:bdr w:val="none" w:sz="0" w:space="0" w:color="auto" w:frame="1"/>
        </w:rPr>
      </w:pPr>
    </w:p>
    <w:p w:rsidR="00DD7791" w:rsidRPr="00C25745" w:rsidRDefault="00DD7791" w:rsidP="00CB3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D7791" w:rsidRPr="00C25745" w:rsidSect="0071766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CB0" w:rsidRDefault="00D82CB0" w:rsidP="001938C7">
      <w:pPr>
        <w:spacing w:after="0" w:line="240" w:lineRule="auto"/>
      </w:pPr>
      <w:r>
        <w:separator/>
      </w:r>
    </w:p>
  </w:endnote>
  <w:endnote w:type="continuationSeparator" w:id="0">
    <w:p w:rsidR="00D82CB0" w:rsidRDefault="00D82CB0" w:rsidP="0019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CB0" w:rsidRDefault="00D82CB0" w:rsidP="001938C7">
      <w:pPr>
        <w:spacing w:after="0" w:line="240" w:lineRule="auto"/>
      </w:pPr>
      <w:r>
        <w:separator/>
      </w:r>
    </w:p>
  </w:footnote>
  <w:footnote w:type="continuationSeparator" w:id="0">
    <w:p w:rsidR="00D82CB0" w:rsidRDefault="00D82CB0" w:rsidP="00193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27C"/>
    <w:multiLevelType w:val="multilevel"/>
    <w:tmpl w:val="9454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180591"/>
    <w:multiLevelType w:val="multilevel"/>
    <w:tmpl w:val="B7AE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053"/>
    <w:rsid w:val="00001DF9"/>
    <w:rsid w:val="000162BA"/>
    <w:rsid w:val="00016348"/>
    <w:rsid w:val="0002012E"/>
    <w:rsid w:val="00041097"/>
    <w:rsid w:val="00046223"/>
    <w:rsid w:val="000635AC"/>
    <w:rsid w:val="00087EBD"/>
    <w:rsid w:val="000A3825"/>
    <w:rsid w:val="00115024"/>
    <w:rsid w:val="001938C7"/>
    <w:rsid w:val="001B5F98"/>
    <w:rsid w:val="001C4976"/>
    <w:rsid w:val="00247704"/>
    <w:rsid w:val="002A721D"/>
    <w:rsid w:val="00301877"/>
    <w:rsid w:val="00344B56"/>
    <w:rsid w:val="00347A04"/>
    <w:rsid w:val="003D5FBB"/>
    <w:rsid w:val="003E54A3"/>
    <w:rsid w:val="0040283E"/>
    <w:rsid w:val="00491391"/>
    <w:rsid w:val="004A2BA5"/>
    <w:rsid w:val="004E215E"/>
    <w:rsid w:val="00502A3C"/>
    <w:rsid w:val="00507910"/>
    <w:rsid w:val="0051275D"/>
    <w:rsid w:val="00514A52"/>
    <w:rsid w:val="00594F1B"/>
    <w:rsid w:val="005A57E9"/>
    <w:rsid w:val="005C169F"/>
    <w:rsid w:val="005C496B"/>
    <w:rsid w:val="005C5756"/>
    <w:rsid w:val="005D5232"/>
    <w:rsid w:val="005D7FA0"/>
    <w:rsid w:val="005E2EC4"/>
    <w:rsid w:val="005F363A"/>
    <w:rsid w:val="00642B68"/>
    <w:rsid w:val="00684679"/>
    <w:rsid w:val="00690D3B"/>
    <w:rsid w:val="006A7371"/>
    <w:rsid w:val="006C39B2"/>
    <w:rsid w:val="006F01C3"/>
    <w:rsid w:val="007120BD"/>
    <w:rsid w:val="0071766B"/>
    <w:rsid w:val="007300A6"/>
    <w:rsid w:val="007353B5"/>
    <w:rsid w:val="0074705E"/>
    <w:rsid w:val="00755BE4"/>
    <w:rsid w:val="00785B35"/>
    <w:rsid w:val="007F4C5E"/>
    <w:rsid w:val="00802E2C"/>
    <w:rsid w:val="0083449D"/>
    <w:rsid w:val="00844053"/>
    <w:rsid w:val="00850AE3"/>
    <w:rsid w:val="008A0A6C"/>
    <w:rsid w:val="008E0431"/>
    <w:rsid w:val="009068DA"/>
    <w:rsid w:val="00921B89"/>
    <w:rsid w:val="00965FA2"/>
    <w:rsid w:val="00A131DB"/>
    <w:rsid w:val="00A423DA"/>
    <w:rsid w:val="00A5502A"/>
    <w:rsid w:val="00A570B4"/>
    <w:rsid w:val="00A67C68"/>
    <w:rsid w:val="00A73B11"/>
    <w:rsid w:val="00AB3DAD"/>
    <w:rsid w:val="00AC1DCC"/>
    <w:rsid w:val="00AD2954"/>
    <w:rsid w:val="00B02AF2"/>
    <w:rsid w:val="00B92B61"/>
    <w:rsid w:val="00BD01DA"/>
    <w:rsid w:val="00C01A83"/>
    <w:rsid w:val="00C25745"/>
    <w:rsid w:val="00C26BC9"/>
    <w:rsid w:val="00C76E96"/>
    <w:rsid w:val="00CB3CA1"/>
    <w:rsid w:val="00CE40C0"/>
    <w:rsid w:val="00D45272"/>
    <w:rsid w:val="00D82CB0"/>
    <w:rsid w:val="00D909E1"/>
    <w:rsid w:val="00DD7791"/>
    <w:rsid w:val="00E3330B"/>
    <w:rsid w:val="00E60817"/>
    <w:rsid w:val="00EA39BA"/>
    <w:rsid w:val="00EE42F9"/>
    <w:rsid w:val="00F34AA1"/>
    <w:rsid w:val="00F54CFD"/>
    <w:rsid w:val="00F94814"/>
    <w:rsid w:val="00FB4291"/>
    <w:rsid w:val="00FC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21B89"/>
    <w:pPr>
      <w:widowControl w:val="0"/>
      <w:suppressAutoHyphens/>
      <w:spacing w:before="280" w:after="28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115024"/>
  </w:style>
  <w:style w:type="character" w:styleId="a4">
    <w:name w:val="Hyperlink"/>
    <w:basedOn w:val="a0"/>
    <w:uiPriority w:val="99"/>
    <w:semiHidden/>
    <w:unhideWhenUsed/>
    <w:rsid w:val="0011502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93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38C7"/>
  </w:style>
  <w:style w:type="paragraph" w:styleId="a7">
    <w:name w:val="footer"/>
    <w:basedOn w:val="a"/>
    <w:link w:val="a8"/>
    <w:uiPriority w:val="99"/>
    <w:semiHidden/>
    <w:unhideWhenUsed/>
    <w:rsid w:val="00193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38C7"/>
  </w:style>
  <w:style w:type="character" w:customStyle="1" w:styleId="idea">
    <w:name w:val="idea"/>
    <w:basedOn w:val="a0"/>
    <w:rsid w:val="005A57E9"/>
  </w:style>
  <w:style w:type="character" w:styleId="a9">
    <w:name w:val="Strong"/>
    <w:basedOn w:val="a0"/>
    <w:uiPriority w:val="22"/>
    <w:qFormat/>
    <w:rsid w:val="00C01A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47</cp:revision>
  <dcterms:created xsi:type="dcterms:W3CDTF">2015-02-22T13:00:00Z</dcterms:created>
  <dcterms:modified xsi:type="dcterms:W3CDTF">2015-03-22T15:57:00Z</dcterms:modified>
</cp:coreProperties>
</file>