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F2" w:rsidRDefault="000C0BF2" w:rsidP="000C0BF2">
      <w:pPr>
        <w:pStyle w:val="a6"/>
        <w:shd w:val="clear" w:color="auto" w:fill="FFFFFF"/>
        <w:spacing w:before="0" w:beforeAutospacing="0" w:after="0" w:afterAutospacing="0" w:line="336" w:lineRule="atLeast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Ипполитова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Инна Евгеньевна</w:t>
      </w:r>
    </w:p>
    <w:p w:rsidR="00727160" w:rsidRPr="000C0BF2" w:rsidRDefault="00727160" w:rsidP="000C0BF2">
      <w:pPr>
        <w:pStyle w:val="a6"/>
        <w:shd w:val="clear" w:color="auto" w:fill="FFFFFF"/>
        <w:spacing w:before="0" w:beforeAutospacing="0" w:after="0" w:afterAutospacing="0" w:line="336" w:lineRule="atLeast"/>
        <w:jc w:val="right"/>
        <w:rPr>
          <w:rStyle w:val="a7"/>
          <w:b w:val="0"/>
          <w:color w:val="000000"/>
        </w:rPr>
      </w:pPr>
      <w:r w:rsidRPr="000C0BF2">
        <w:rPr>
          <w:rStyle w:val="a7"/>
          <w:b w:val="0"/>
          <w:color w:val="000000"/>
        </w:rPr>
        <w:t>МОУ ДО «</w:t>
      </w:r>
      <w:proofErr w:type="spellStart"/>
      <w:r w:rsidRPr="000C0BF2">
        <w:rPr>
          <w:rStyle w:val="a7"/>
          <w:b w:val="0"/>
          <w:color w:val="000000"/>
        </w:rPr>
        <w:t>Селижаровская</w:t>
      </w:r>
      <w:proofErr w:type="spellEnd"/>
      <w:r w:rsidRPr="000C0BF2">
        <w:rPr>
          <w:rStyle w:val="a7"/>
          <w:b w:val="0"/>
          <w:color w:val="000000"/>
        </w:rPr>
        <w:t xml:space="preserve"> ДШИ»</w:t>
      </w:r>
    </w:p>
    <w:p w:rsidR="000C0BF2" w:rsidRDefault="000C0BF2" w:rsidP="000C0BF2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0C0BF2">
        <w:rPr>
          <w:rStyle w:val="a7"/>
          <w:b w:val="0"/>
          <w:color w:val="000000"/>
        </w:rPr>
        <w:t>Преподаватель фортепиано</w:t>
      </w:r>
    </w:p>
    <w:p w:rsidR="000C0BF2" w:rsidRPr="000C0BF2" w:rsidRDefault="000C0BF2" w:rsidP="000C0BF2">
      <w:pPr>
        <w:pStyle w:val="a6"/>
        <w:shd w:val="clear" w:color="auto" w:fill="FFFFFF"/>
        <w:spacing w:before="0" w:beforeAutospacing="0" w:after="0" w:afterAutospacing="0"/>
        <w:jc w:val="right"/>
        <w:rPr>
          <w:rStyle w:val="a7"/>
          <w:b w:val="0"/>
          <w:color w:val="000000"/>
        </w:rPr>
      </w:pPr>
      <w:r w:rsidRPr="000C0BF2">
        <w:rPr>
          <w:rStyle w:val="a7"/>
          <w:b w:val="0"/>
          <w:color w:val="000000"/>
        </w:rPr>
        <w:t xml:space="preserve"> </w:t>
      </w:r>
    </w:p>
    <w:p w:rsidR="00727160" w:rsidRDefault="00727160" w:rsidP="000C0BF2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Первые шаги в работе над полифоническими произведениями</w:t>
      </w:r>
      <w:bookmarkStart w:id="0" w:name="_GoBack"/>
      <w:bookmarkEnd w:id="0"/>
    </w:p>
    <w:p w:rsidR="00727160" w:rsidRPr="00727160" w:rsidRDefault="00727160" w:rsidP="000C0BF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color w:val="000000"/>
        </w:rPr>
        <w:t>в классе фортепиано</w:t>
      </w:r>
    </w:p>
    <w:p w:rsidR="00727160" w:rsidRPr="00727160" w:rsidRDefault="00727160" w:rsidP="000C0BF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7160">
        <w:rPr>
          <w:color w:val="000000"/>
        </w:rPr>
        <w:t> </w:t>
      </w:r>
    </w:p>
    <w:p w:rsidR="00727160" w:rsidRPr="00727160" w:rsidRDefault="00727160" w:rsidP="000C0B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7160">
        <w:rPr>
          <w:color w:val="000000"/>
        </w:rPr>
        <w:t>   Работа над полифоническими произведениями является неотъемлемой частью обучения фортепианному исполнительскому искусству. Это объясняется тем громадным значением, которое имеет для каждого играющего на фортепиано развитое полифоническое мышление и владение полифонической фактурой. Развитие полифонического слуха и полифонического мышления является одним из важнейших моментов воспитания музыкальной культуры учащихся. Умение слышать полифоническую ткань, исполнять полифоническую музыку учащийся развивает и углубляет на всем протяжении обучения. Если ученик с первого класса получает правильные пианистические навыки, то и полифонический репертуар он воспринимает и исполняет осмысленно и содержательно.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 Как известно, полифония – это вид многоголосия, представляющий собой сочетание в одновременном звучании двух и более равноправных мелодий. Следовательно, изучение полифонии начинаются с правильного восприятия и умения исполнять один из важнейших компонентов полифонической музыки – мелодии. Выполнение этой задачи надо начинать с первых прикосновений к клавиатуре, когда ученик учится брать отдельные звуки.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 Уже с первых шагов обучения ученики проходят пьесы старинных, русских и советских композиторов, в которых есть элементы полифонии. Полифония  в этих пьесах, в основном, подголосочная, а в некоторых – с элементами имитации. В результате работы над такими произведениями у учеников накапливаются нужные навыки, позволяющие перейти в средних и старших классах к изучению более сложной имитационной полифонии, в частности, к полифонии И.С.Баха.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 Полифонический материал для начинающих составляют, в основном, легкие полифонические обработки народных песен подголосочного склада. Желательно, чтобы педагог рассказал о том, как исполнялись эти песни в народе: начинал запевала, затем подхватывал песню хор («подголоски»), варьируя ту же мелодию. Хочу привести в пример один из методов работы над подголосочной полифонией. На уроке педагог предлагает ученику исполнить песню «хоровым» способом, разделив роли: ученик играет выученную дома партию запевалы, а педагог на другом рояле «изображает» хор. Через два – три урока роли меняются. Играя с педагогом в ансамбле попеременно обе партии, ученик не только отчетливо ощущает самостоятельную жизнь каждой из них, но и слышит всю пьесу целиком в одновременном сочетании обоих голосов.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 Имитацию тоже можно образно пояснить на таком знакомом и интересном для детей явлении как эхо. Очень оживит восприятие имитации игра в ансамблевом изложении, мелодию играет ученик, а  ее имитацию «эхо» – педагог. Затем роли меняются.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  С первых шагов овладения полифонией ученика необходимо приучить  как   к ясности в поочередном вступлении голосов, так и к четкости их проведения и окончания. Важно, чтобы окончания мотивов в одном голосе не заглушались вступающим голосом. На </w:t>
      </w:r>
      <w:r w:rsidRPr="00727160">
        <w:rPr>
          <w:color w:val="000000"/>
        </w:rPr>
        <w:lastRenderedPageBreak/>
        <w:t>каждом уроке совершенно обязательно добиваться контрастного динамического воплощения и различного тембра для каждого голоса отдельно. Играем, например, один голос громко, а другой – тихо, как «эхо».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 Новой, более сложной и необходимой ступенью на пути к постижению полифонической музыки и ее исполнения является изучение педагогического наследия великого полифониста И. С. Баха. Общепризнано, что преподавание И. С. Баха – один из труднейших разделов музыкальной  педагогики. К сожалению, мы часто сталкиваемся с тем, что ученики относятся к полифоническим произведениям И. С. Баха как к музыке сухой и скучной. Научить ребенка любить музыку И. С. Баха, раскрыв перед ним богатый внутренний мир </w:t>
      </w:r>
      <w:proofErr w:type="spellStart"/>
      <w:r w:rsidRPr="00727160">
        <w:rPr>
          <w:color w:val="000000"/>
        </w:rPr>
        <w:t>баховских</w:t>
      </w:r>
      <w:proofErr w:type="spellEnd"/>
      <w:r w:rsidRPr="00727160">
        <w:rPr>
          <w:color w:val="000000"/>
        </w:rPr>
        <w:t xml:space="preserve"> мыслей и их эмоциональное содержание – одна из важнейших задач педагога.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 Легкие полифонические пьесы И. С. Баха из «Нотной тетради А. М. Бах» – ценнейший материал, который активно развивает полифоническое мышление ученика, его звуковую палитру, воспитывает чувство стиля и формы. Маленькие шедевры, вошедшие в «Нотную тетрадь А. М. Бах», представляют собой, в основном, небольшие танцевальные пьесы: полонезы, менуэты и марши. Они отличаются необыкновенным богатством мелодий и ритмов, не говоря уже о многообразии выраженных в них настроений.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 Желательно, чтобы педагог, образно и доступно детскому восприятию, рассказал ученику о старинных   танцах – менуэте, полонезе.  О том, например, как с конца 17 века менуэт исполняли во время торжественных дворцовых церемоний, как в 18 веке он стал модным аристократическим танцем, которым увлекались чопорные придворные аристократы в белых пудреных париках. Менуэт танцевали с большой торжественностью, приседаниями и реверансами. В соответствии с этим музыка менуэта отражала в своих мелодических оборотах плавность и важность поклонов, низких и церемонных приседаний и реверансов. Конечно, И. С. Бах писал свои менуэты не для танцев, но от них он заимствовал танцевальные ритмы и форму, наполнив эти пьесы самыми разнообразными настроениями.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 На начальном этапе работы первым делом необходимо понять  характер пьесы. Определив настроение пьесы, педагог направляет внимание ученика на различие мелодий верхнего и нижнего голосов, на их самостоятельность и независимость друг от друга, словно исполняют их два разных инструмента. Затем  переходит к показу фразировки и связанной с ней артикуляцией каждого голоса отдельно.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 Из многих задач, встающих на пути изучения полифонической пьесы, основной продолжает оставаться работа над певучестью, интонационной выразительностью и самостоятельностью каждого голоса. Самостоятельность голосов – непременное требование, которое предъявляет к исполнителю любое полифоническое произведение. Поэтому так важно показать ученику, в чем именно проявляется эта самостоятельность: 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720"/>
        <w:jc w:val="both"/>
        <w:rPr>
          <w:color w:val="000000"/>
        </w:rPr>
      </w:pPr>
      <w:r w:rsidRPr="00727160">
        <w:rPr>
          <w:color w:val="000000"/>
        </w:rPr>
        <w:t>·       в различном характере голосоведения («инструментовка»);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720"/>
        <w:jc w:val="both"/>
        <w:rPr>
          <w:color w:val="000000"/>
        </w:rPr>
      </w:pPr>
      <w:r w:rsidRPr="00727160">
        <w:rPr>
          <w:color w:val="000000"/>
        </w:rPr>
        <w:t>·       в различной, почти нигде не совпадающей фразировке;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720"/>
        <w:jc w:val="both"/>
        <w:rPr>
          <w:color w:val="000000"/>
        </w:rPr>
      </w:pPr>
      <w:proofErr w:type="gramStart"/>
      <w:r w:rsidRPr="00727160">
        <w:rPr>
          <w:color w:val="000000"/>
        </w:rPr>
        <w:t xml:space="preserve">·       в несовпадении штрихов: в верхнем голосе – </w:t>
      </w:r>
      <w:proofErr w:type="spellStart"/>
      <w:r w:rsidRPr="00727160">
        <w:rPr>
          <w:color w:val="000000"/>
        </w:rPr>
        <w:t>legato</w:t>
      </w:r>
      <w:proofErr w:type="spellEnd"/>
      <w:r w:rsidRPr="00727160">
        <w:rPr>
          <w:color w:val="000000"/>
        </w:rPr>
        <w:t xml:space="preserve">, в нижнем – </w:t>
      </w:r>
      <w:proofErr w:type="spellStart"/>
      <w:r w:rsidRPr="00727160">
        <w:rPr>
          <w:color w:val="000000"/>
        </w:rPr>
        <w:t>non</w:t>
      </w:r>
      <w:proofErr w:type="spellEnd"/>
      <w:r w:rsidRPr="00727160">
        <w:rPr>
          <w:color w:val="000000"/>
        </w:rPr>
        <w:t xml:space="preserve"> </w:t>
      </w:r>
      <w:proofErr w:type="spellStart"/>
      <w:r w:rsidRPr="00727160">
        <w:rPr>
          <w:color w:val="000000"/>
        </w:rPr>
        <w:t>legato</w:t>
      </w:r>
      <w:proofErr w:type="spellEnd"/>
      <w:r w:rsidRPr="00727160">
        <w:rPr>
          <w:color w:val="000000"/>
        </w:rPr>
        <w:t>;</w:t>
      </w:r>
      <w:proofErr w:type="gramEnd"/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720"/>
        <w:jc w:val="both"/>
        <w:rPr>
          <w:color w:val="000000"/>
        </w:rPr>
      </w:pPr>
      <w:r w:rsidRPr="00727160">
        <w:rPr>
          <w:color w:val="000000"/>
        </w:rPr>
        <w:t>·       в несовпадении кульминаций в обоих голосах;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720"/>
        <w:jc w:val="both"/>
        <w:rPr>
          <w:color w:val="000000"/>
        </w:rPr>
      </w:pPr>
      <w:r w:rsidRPr="00727160">
        <w:rPr>
          <w:color w:val="000000"/>
        </w:rPr>
        <w:lastRenderedPageBreak/>
        <w:t>·       в разном ритмическом характере голосов (нижний – четверти и половинные,        а верхний голос – восьмые);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720"/>
        <w:jc w:val="both"/>
        <w:rPr>
          <w:color w:val="000000"/>
        </w:rPr>
      </w:pPr>
      <w:r w:rsidRPr="00727160">
        <w:rPr>
          <w:color w:val="000000"/>
        </w:rPr>
        <w:t>·       в несовпадении динамического развития: верхний голос – крещендо, нижний       голос – диминуэндо);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 Как бы уверенно не играл ученик полифоническую пьесу двумя руками, тщательная работа над каждым голосом не должна прекращаться ни на один день. В противном случае голосоведение быстро засоряется.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 На материале двух-трех пьес из «Нотной тетради А.И. Бах» ученик усваивает различные черты </w:t>
      </w:r>
      <w:proofErr w:type="spellStart"/>
      <w:r w:rsidRPr="00727160">
        <w:rPr>
          <w:color w:val="000000"/>
        </w:rPr>
        <w:t>баховской</w:t>
      </w:r>
      <w:proofErr w:type="spellEnd"/>
      <w:r w:rsidRPr="00727160">
        <w:rPr>
          <w:color w:val="000000"/>
        </w:rPr>
        <w:t xml:space="preserve"> музыки, усваивает принцип «восьмушки», знакомится с очень важной особенностью мелодического языка Баха – с тем, что мотивы у Баха начинаются  на слабой доле такта, а заканчиваются на сильной доле. Поэтому границы мотива у Баха не совпадают с границами такта, поэтому и акценты в </w:t>
      </w:r>
      <w:proofErr w:type="spellStart"/>
      <w:r w:rsidRPr="00727160">
        <w:rPr>
          <w:color w:val="000000"/>
        </w:rPr>
        <w:t>баховских</w:t>
      </w:r>
      <w:proofErr w:type="spellEnd"/>
      <w:r w:rsidRPr="00727160">
        <w:rPr>
          <w:color w:val="000000"/>
        </w:rPr>
        <w:t xml:space="preserve"> произведениях определяются не метром, а внутренним смыслом темы или мотива.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  Трудно переоценить роль и значение  сборников «Нотная тетрадь А. М. Бах», «Нотная тетрадь В. Ф. Баха», «Маленькие прелюдии и фуги», а в дальнейшем и пятнадцать двухголосных и пятнадцать трехголосных инвенций и симфоний в становлении учащихся как будущих музыкантов. Сборник И.С.Баха “Инвенции и симфонии” благодаря художественной содержательности образов и полифоническому мастерству представляет большую ценность и является одним из важных и обязательных разделов педагогического репертуара в области полифонии в средних и старших классах ДМШ. Несмотря на свое изначально педагогическое назначение, инвенции Баха являются подлинными шедеврами музыкального искусства. Их отличает сочетание высокого полифонического мастерства, стройности формы с глубиной содержания, богатством фантазии и разнообразием жанровых оттенков.     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 После того как ученик познакомится с пьесой в исполнении педагога, разбираем содержание инвенции. Вместе с учеником определяем границы темы, ее характер. Тема в инвенциях Баха – ядро всего произведения, именно она и ее дальнейшие видоизменения и развитие определяют характер и образный строй всего произведения.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  При повторном проигрывании нужно определить и понять форму пьесы. Когда ученик будет ясно представлять себе строение инвенции, можно приступать к тщательной работе над линией каждого голоса. Существенный момент в разучивании по голосам – соблюдение правильных штрихов, аппликатуры, динамики. Работая над мелодической линией каждого голоса, ученик внимательно должен слышать протяженность длинных нот и то, как из них естественно вытекает следующий звук. Направляя работу ученика, нужно привлечь его внимание к тому, что сочетание трех голосов в инвенции напоминает беседу, в которую вступают мелодии – голоса с разными высказываниями. Каждый голос имеет свое “лицо”, характер, окраску. Ученику следует добиваться нужного туше: более звонкого, открытого звука в верхнем голосе; чуть матового звучания среднего голоса; более густого, основательного, солидного и благородного звука в басу. Работа по голосам должна вестись тщательно. От качества знания голосов очень многое будет зависеть в дальнейшей работе. Для того чтобы ученик не терял из виду целое, необходимо, чтобы он постоянно слышал пьесу целиком, в трехголосном звучании в исполнении педагога. </w:t>
      </w:r>
      <w:r w:rsidRPr="00727160">
        <w:rPr>
          <w:color w:val="000000"/>
        </w:rPr>
        <w:lastRenderedPageBreak/>
        <w:t>Полезно поиграть в ансамбле: ученик играет какой-либо один голос, а педагог – остальные два.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 В своих рукописях Бах ограничивался записью нот и украшений и не оставил почти никаких указаний относительно динамики, темпа, фразировки, аппликатуры, расшифровки украшений. Сведения об этом сообщались ученику непосредственно на уроках.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 Артикуляция – одна из важнейших условий выразительного исполнения старинной музыки. Ей следует уделять большое внимание в работе. Следует объяснить ученику, что правильное разделение мелодии на мотивы и их верному интонационному произношению во времена И. С. Баха придавалось большое значение. Важно также помнить, что в большинстве случаев мотивы у композитора начинаются со слабой доли такта. Здесь хочется напомнить, что короткие лиги проставленные редактором,  а изредка и самим И. С. Бахом, указывают границы мотивов, но не далеко не всегда означают снятие руки.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 Вопросы артикуляции глубоко и тщательно изучал профессор И. А. </w:t>
      </w:r>
      <w:proofErr w:type="spellStart"/>
      <w:r w:rsidRPr="00727160">
        <w:rPr>
          <w:color w:val="000000"/>
        </w:rPr>
        <w:t>Браудо</w:t>
      </w:r>
      <w:proofErr w:type="spellEnd"/>
      <w:r w:rsidRPr="00727160">
        <w:rPr>
          <w:color w:val="000000"/>
        </w:rPr>
        <w:t xml:space="preserve">. Исследуя тексты рукописей и закономерности практики исполнения произведений Баха, он вывел два артикуляционных правила: правило восьмой и правило фанфары. И. А. </w:t>
      </w:r>
      <w:proofErr w:type="spellStart"/>
      <w:r w:rsidRPr="00727160">
        <w:rPr>
          <w:color w:val="000000"/>
        </w:rPr>
        <w:t>Браудо</w:t>
      </w:r>
      <w:proofErr w:type="spellEnd"/>
      <w:r w:rsidRPr="00727160">
        <w:rPr>
          <w:color w:val="000000"/>
        </w:rPr>
        <w:t xml:space="preserve"> заметил, что ткань </w:t>
      </w:r>
      <w:proofErr w:type="spellStart"/>
      <w:r w:rsidRPr="00727160">
        <w:rPr>
          <w:color w:val="000000"/>
        </w:rPr>
        <w:t>баховских</w:t>
      </w:r>
      <w:proofErr w:type="spellEnd"/>
      <w:r w:rsidRPr="00727160">
        <w:rPr>
          <w:color w:val="000000"/>
        </w:rPr>
        <w:t xml:space="preserve"> инвенций, как правило, состоит из соседних ритмических длительностей. Это позволило сделать ему вывод о том, что если у Баха один голос изложен четвертями, а другой восьмыми, то четверти играются расчлененной артикуляцией, а восьмые – связно или наоборот. Это и есть правило восьмой. Правило фанфары заключается в следующем: внутри голоса мелодия движется то постепенно, то скачками; и когда в мелодии – скачок на большой интервал, то звуки скачка играются другой артикуляцией. Для музыки Баха характерны такие разновидности штрихов: </w:t>
      </w:r>
      <w:proofErr w:type="spellStart"/>
      <w:r w:rsidRPr="00727160">
        <w:rPr>
          <w:color w:val="000000"/>
        </w:rPr>
        <w:t>legato</w:t>
      </w:r>
      <w:proofErr w:type="spellEnd"/>
      <w:r w:rsidRPr="00727160">
        <w:rPr>
          <w:color w:val="000000"/>
        </w:rPr>
        <w:t xml:space="preserve">, особенно </w:t>
      </w:r>
      <w:proofErr w:type="gramStart"/>
      <w:r w:rsidRPr="00727160">
        <w:rPr>
          <w:color w:val="000000"/>
        </w:rPr>
        <w:t>расчлененное</w:t>
      </w:r>
      <w:proofErr w:type="gramEnd"/>
      <w:r w:rsidRPr="00727160">
        <w:rPr>
          <w:color w:val="000000"/>
        </w:rPr>
        <w:t xml:space="preserve">, с ясным произнесением каждого тона; </w:t>
      </w:r>
      <w:proofErr w:type="spellStart"/>
      <w:r w:rsidRPr="00727160">
        <w:rPr>
          <w:color w:val="000000"/>
        </w:rPr>
        <w:t>non</w:t>
      </w:r>
      <w:proofErr w:type="spellEnd"/>
      <w:r w:rsidRPr="00727160">
        <w:rPr>
          <w:color w:val="000000"/>
        </w:rPr>
        <w:t xml:space="preserve"> </w:t>
      </w:r>
      <w:proofErr w:type="spellStart"/>
      <w:r w:rsidRPr="00727160">
        <w:rPr>
          <w:color w:val="000000"/>
        </w:rPr>
        <w:t>legato</w:t>
      </w:r>
      <w:proofErr w:type="spellEnd"/>
      <w:r w:rsidRPr="00727160">
        <w:rPr>
          <w:color w:val="000000"/>
        </w:rPr>
        <w:t xml:space="preserve">, </w:t>
      </w:r>
      <w:proofErr w:type="spellStart"/>
      <w:r w:rsidRPr="00727160">
        <w:rPr>
          <w:color w:val="000000"/>
        </w:rPr>
        <w:t>portamente</w:t>
      </w:r>
      <w:proofErr w:type="spellEnd"/>
      <w:r w:rsidRPr="00727160">
        <w:rPr>
          <w:color w:val="000000"/>
        </w:rPr>
        <w:t xml:space="preserve">, </w:t>
      </w:r>
      <w:proofErr w:type="spellStart"/>
      <w:r w:rsidRPr="00727160">
        <w:rPr>
          <w:color w:val="000000"/>
        </w:rPr>
        <w:t>staccato</w:t>
      </w:r>
      <w:proofErr w:type="spellEnd"/>
      <w:r w:rsidRPr="00727160">
        <w:rPr>
          <w:color w:val="000000"/>
        </w:rPr>
        <w:t>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 В динамическом плане основная особенность исполнения музыки Баха заключается в том, что его сочинения не терпят </w:t>
      </w:r>
      <w:proofErr w:type="spellStart"/>
      <w:r w:rsidRPr="00727160">
        <w:rPr>
          <w:color w:val="000000"/>
        </w:rPr>
        <w:t>нюансовой</w:t>
      </w:r>
      <w:proofErr w:type="spellEnd"/>
      <w:r w:rsidRPr="00727160">
        <w:rPr>
          <w:color w:val="000000"/>
        </w:rPr>
        <w:t xml:space="preserve"> пестроты. Обдумывая динамический план в произведениях И. С. Баха, следует помнить, что стилю музыки эпохи композитора присущи контрастная динамика и длинные динамические линии. Ф. </w:t>
      </w:r>
      <w:proofErr w:type="spellStart"/>
      <w:r w:rsidRPr="00727160">
        <w:rPr>
          <w:color w:val="000000"/>
        </w:rPr>
        <w:t>Бузони</w:t>
      </w:r>
      <w:proofErr w:type="spellEnd"/>
      <w:r w:rsidRPr="00727160">
        <w:rPr>
          <w:color w:val="000000"/>
        </w:rPr>
        <w:t xml:space="preserve"> и А. </w:t>
      </w:r>
      <w:proofErr w:type="spellStart"/>
      <w:r w:rsidRPr="00727160">
        <w:rPr>
          <w:color w:val="000000"/>
        </w:rPr>
        <w:t>Швейцер</w:t>
      </w:r>
      <w:proofErr w:type="spellEnd"/>
      <w:r w:rsidRPr="00727160">
        <w:rPr>
          <w:color w:val="000000"/>
        </w:rPr>
        <w:t xml:space="preserve"> называют ее «</w:t>
      </w:r>
      <w:proofErr w:type="spellStart"/>
      <w:r w:rsidRPr="00727160">
        <w:rPr>
          <w:color w:val="000000"/>
        </w:rPr>
        <w:t>террасообразной</w:t>
      </w:r>
      <w:proofErr w:type="spellEnd"/>
      <w:r w:rsidRPr="00727160">
        <w:rPr>
          <w:color w:val="000000"/>
        </w:rPr>
        <w:t xml:space="preserve"> динамикой». Короткие крещендо и диминуэндо, так называемые «вилочки», искажают мужественную простоту </w:t>
      </w:r>
      <w:proofErr w:type="spellStart"/>
      <w:r w:rsidRPr="00727160">
        <w:rPr>
          <w:color w:val="000000"/>
        </w:rPr>
        <w:t>баховского</w:t>
      </w:r>
      <w:proofErr w:type="spellEnd"/>
      <w:r w:rsidRPr="00727160">
        <w:rPr>
          <w:color w:val="000000"/>
        </w:rPr>
        <w:t xml:space="preserve"> письма.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 Что касается темпов, то во времена Баха все быстрые темпы были медленнее, а медленные быстрее. В произведении, как правило, должен быть единый темп, за исключением изменений, указанных автором.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>     В вопросах педали следует соблюдать большую осторожность. Можно рекомендовать пользоваться педалью в основном в тех случаях, когда руки не в состоянии связать звуки мелодической линии. Уместно также брать педаль в каденциях.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     Огромное выразительное средство музыки Баха – орнаментика. Вокруг этой проблемы много споров. Таблицу расшифровки целого ряда украшений сам Бах вписал в “Нотную тетрадь Вильгельма </w:t>
      </w:r>
      <w:proofErr w:type="spellStart"/>
      <w:r w:rsidRPr="00727160">
        <w:rPr>
          <w:color w:val="000000"/>
        </w:rPr>
        <w:t>Фридемана</w:t>
      </w:r>
      <w:proofErr w:type="spellEnd"/>
      <w:r w:rsidRPr="00727160">
        <w:rPr>
          <w:color w:val="000000"/>
        </w:rPr>
        <w:t>”.</w:t>
      </w:r>
    </w:p>
    <w:p w:rsidR="00B45D59" w:rsidRPr="00727160" w:rsidRDefault="00727160" w:rsidP="00B45D59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lastRenderedPageBreak/>
        <w:t>    Следующий этап работы – соединение учеником всех голосов. Сначала попробовать соединить два голоса, затем добавить третий. Большую трудность для ученика будет представлять сочетание двух голосов в одной руке. Когда ученик играет инвенцию целиком, в работу будут включаться новые музыкальные задачи. Одна из них – поиск нужного соотношения всех голосов в их одновременном звучании.</w:t>
      </w:r>
      <w:r w:rsidR="00B45D59" w:rsidRPr="00B45D59">
        <w:rPr>
          <w:color w:val="000000"/>
        </w:rPr>
        <w:t xml:space="preserve"> </w:t>
      </w:r>
      <w:r w:rsidR="00B45D59" w:rsidRPr="00727160">
        <w:rPr>
          <w:color w:val="000000"/>
        </w:rPr>
        <w:t>   Работа над инвенциями И.С.Баха помогает понять мир глубоких, содержательных музыкально-худ</w:t>
      </w:r>
      <w:r w:rsidR="00B45D59">
        <w:rPr>
          <w:color w:val="000000"/>
        </w:rPr>
        <w:t xml:space="preserve">ожественных образов композитора; много дает </w:t>
      </w:r>
      <w:r w:rsidR="00B45D59" w:rsidRPr="00727160">
        <w:rPr>
          <w:color w:val="000000"/>
        </w:rPr>
        <w:t xml:space="preserve">для приобретения навыков исполнения полифонической музыки и для музыкально-пианистической подготовки в целом. </w:t>
      </w:r>
      <w:r w:rsidR="00B45D59">
        <w:rPr>
          <w:color w:val="000000"/>
        </w:rPr>
        <w:t xml:space="preserve"> 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jc w:val="both"/>
        <w:rPr>
          <w:color w:val="000000"/>
        </w:rPr>
      </w:pPr>
      <w:r w:rsidRPr="00727160">
        <w:rPr>
          <w:color w:val="000000"/>
        </w:rPr>
        <w:t xml:space="preserve"> С наступлением завершающего этапа работы исполнение инвенции целиком должно занимать все больше времени и внимания. Особенно значительна роль работы над инвенциями в слуховом воспитании, в достижении тембрового разнообразия звучания, в умении вести напевную мелодическую линию.</w:t>
      </w:r>
      <w:r>
        <w:rPr>
          <w:color w:val="000000"/>
        </w:rPr>
        <w:t xml:space="preserve"> </w:t>
      </w:r>
      <w:r w:rsidRPr="00727160">
        <w:rPr>
          <w:color w:val="000000"/>
        </w:rPr>
        <w:t>Главной задачей заключительного этапа работы над инвенцией становится передача содержани</w:t>
      </w:r>
      <w:r w:rsidR="00B45D59">
        <w:rPr>
          <w:color w:val="000000"/>
        </w:rPr>
        <w:t>я музыки, ее художественного образа.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rPr>
          <w:color w:val="000000"/>
        </w:rPr>
      </w:pPr>
      <w:r w:rsidRPr="00727160">
        <w:rPr>
          <w:color w:val="000000"/>
        </w:rPr>
        <w:t> </w:t>
      </w:r>
    </w:p>
    <w:p w:rsidR="00727160" w:rsidRPr="00727160" w:rsidRDefault="00727160" w:rsidP="00727160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727160">
        <w:rPr>
          <w:rStyle w:val="a7"/>
          <w:color w:val="000000"/>
        </w:rPr>
        <w:t>Список литературы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rPr>
          <w:color w:val="000000"/>
        </w:rPr>
      </w:pPr>
      <w:r w:rsidRPr="00727160">
        <w:rPr>
          <w:color w:val="000000"/>
        </w:rPr>
        <w:t> 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360"/>
        <w:rPr>
          <w:color w:val="000000"/>
        </w:rPr>
      </w:pPr>
      <w:r w:rsidRPr="00727160">
        <w:rPr>
          <w:color w:val="000000"/>
        </w:rPr>
        <w:t>1.    Алексеев А. Методика обучения игре на фортепиано. М.: Музыка, 1978.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360"/>
        <w:rPr>
          <w:color w:val="000000"/>
        </w:rPr>
      </w:pPr>
      <w:r w:rsidRPr="00727160">
        <w:rPr>
          <w:color w:val="000000"/>
        </w:rPr>
        <w:t xml:space="preserve">2.    </w:t>
      </w:r>
      <w:proofErr w:type="spellStart"/>
      <w:r w:rsidRPr="00727160">
        <w:rPr>
          <w:color w:val="000000"/>
        </w:rPr>
        <w:t>Браудо</w:t>
      </w:r>
      <w:proofErr w:type="spellEnd"/>
      <w:r w:rsidRPr="00727160">
        <w:rPr>
          <w:color w:val="000000"/>
        </w:rPr>
        <w:t xml:space="preserve"> И. Артикуляция (о произношении мелодии). Л.: ЛМИ, 1961.</w:t>
      </w:r>
    </w:p>
    <w:p w:rsid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360"/>
        <w:rPr>
          <w:color w:val="000000"/>
        </w:rPr>
      </w:pPr>
      <w:r w:rsidRPr="00727160">
        <w:rPr>
          <w:color w:val="000000"/>
        </w:rPr>
        <w:t xml:space="preserve">3.    </w:t>
      </w:r>
      <w:proofErr w:type="spellStart"/>
      <w:r w:rsidRPr="00727160">
        <w:rPr>
          <w:color w:val="000000"/>
        </w:rPr>
        <w:t>Браудо</w:t>
      </w:r>
      <w:proofErr w:type="spellEnd"/>
      <w:r w:rsidRPr="00727160">
        <w:rPr>
          <w:color w:val="000000"/>
        </w:rPr>
        <w:t xml:space="preserve"> И. об изучении клавирных сочинений Баха в музыкальной школе. М – Л,    1965.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360"/>
        <w:rPr>
          <w:color w:val="000000"/>
        </w:rPr>
      </w:pPr>
      <w:r>
        <w:rPr>
          <w:color w:val="000000"/>
        </w:rPr>
        <w:t xml:space="preserve">4.    </w:t>
      </w:r>
      <w:r w:rsidRPr="00727160">
        <w:rPr>
          <w:color w:val="000000"/>
        </w:rPr>
        <w:t>Цыпин Г.М. Обучение игре на фортепиано. М.: Просвещение, 1984.</w:t>
      </w:r>
    </w:p>
    <w:p w:rsidR="00727160" w:rsidRPr="00727160" w:rsidRDefault="00727160" w:rsidP="00727160">
      <w:pPr>
        <w:pStyle w:val="a6"/>
        <w:shd w:val="clear" w:color="auto" w:fill="FFFFFF"/>
        <w:spacing w:before="60" w:beforeAutospacing="0" w:after="60" w:afterAutospacing="0" w:line="336" w:lineRule="atLeast"/>
        <w:ind w:left="360"/>
        <w:rPr>
          <w:color w:val="000000"/>
        </w:rPr>
      </w:pPr>
    </w:p>
    <w:p w:rsidR="007C2A0C" w:rsidRPr="00727160" w:rsidRDefault="007C2A0C">
      <w:pPr>
        <w:rPr>
          <w:rFonts w:ascii="Times New Roman" w:hAnsi="Times New Roman" w:cs="Times New Roman"/>
          <w:sz w:val="24"/>
          <w:szCs w:val="24"/>
        </w:rPr>
      </w:pPr>
    </w:p>
    <w:sectPr w:rsidR="007C2A0C" w:rsidRPr="00727160" w:rsidSect="007C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BFD"/>
    <w:rsid w:val="000C0BF2"/>
    <w:rsid w:val="000C2BFD"/>
    <w:rsid w:val="00166B9A"/>
    <w:rsid w:val="00344832"/>
    <w:rsid w:val="003F4C87"/>
    <w:rsid w:val="00526ACC"/>
    <w:rsid w:val="00642BB3"/>
    <w:rsid w:val="00723660"/>
    <w:rsid w:val="00727160"/>
    <w:rsid w:val="007C2A0C"/>
    <w:rsid w:val="007C6C9A"/>
    <w:rsid w:val="007E110E"/>
    <w:rsid w:val="00AD5D4B"/>
    <w:rsid w:val="00B45D59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C"/>
  </w:style>
  <w:style w:type="paragraph" w:styleId="1">
    <w:name w:val="heading 1"/>
    <w:basedOn w:val="a"/>
    <w:link w:val="10"/>
    <w:uiPriority w:val="9"/>
    <w:qFormat/>
    <w:rsid w:val="000C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0C2BFD"/>
  </w:style>
  <w:style w:type="character" w:customStyle="1" w:styleId="article-statcount">
    <w:name w:val="article-stat__count"/>
    <w:basedOn w:val="a0"/>
    <w:rsid w:val="000C2BFD"/>
  </w:style>
  <w:style w:type="paragraph" w:customStyle="1" w:styleId="article-renderblock">
    <w:name w:val="article-render__block"/>
    <w:basedOn w:val="a"/>
    <w:rsid w:val="000C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BFD"/>
    <w:rPr>
      <w:color w:val="0000FF"/>
      <w:u w:val="single"/>
    </w:rPr>
  </w:style>
  <w:style w:type="character" w:customStyle="1" w:styleId="dpkjnr">
    <w:name w:val="dpkjnr"/>
    <w:basedOn w:val="a0"/>
    <w:rsid w:val="000C2BFD"/>
  </w:style>
  <w:style w:type="character" w:customStyle="1" w:styleId="fryvys">
    <w:name w:val="fryvys"/>
    <w:basedOn w:val="a0"/>
    <w:rsid w:val="000C2BFD"/>
  </w:style>
  <w:style w:type="character" w:customStyle="1" w:styleId="ui-lib-call-to-action-barcontainer">
    <w:name w:val="ui-lib-call-to-action-bar__container"/>
    <w:basedOn w:val="a0"/>
    <w:rsid w:val="000C2BFD"/>
  </w:style>
  <w:style w:type="character" w:customStyle="1" w:styleId="ui-lib-call-to-action-bartitle">
    <w:name w:val="ui-lib-call-to-action-bar__title"/>
    <w:basedOn w:val="a0"/>
    <w:rsid w:val="000C2BFD"/>
  </w:style>
  <w:style w:type="character" w:customStyle="1" w:styleId="ui-lib-call-to-action-barchannel-name">
    <w:name w:val="ui-lib-call-to-action-bar__channel-name"/>
    <w:basedOn w:val="a0"/>
    <w:rsid w:val="000C2BFD"/>
  </w:style>
  <w:style w:type="character" w:customStyle="1" w:styleId="ui-lib-buttoncontent-wrapper">
    <w:name w:val="ui-lib-button__content-wrapper"/>
    <w:basedOn w:val="a0"/>
    <w:rsid w:val="000C2BFD"/>
  </w:style>
  <w:style w:type="character" w:customStyle="1" w:styleId="zen-tag-publisherstitle">
    <w:name w:val="zen-tag-publishers__title"/>
    <w:basedOn w:val="a0"/>
    <w:rsid w:val="000C2BFD"/>
  </w:style>
  <w:style w:type="paragraph" w:styleId="a4">
    <w:name w:val="Balloon Text"/>
    <w:basedOn w:val="a"/>
    <w:link w:val="a5"/>
    <w:uiPriority w:val="99"/>
    <w:semiHidden/>
    <w:unhideWhenUsed/>
    <w:rsid w:val="000C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7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478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7725">
                              <w:marLeft w:val="0"/>
                              <w:marRight w:val="2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4102">
                              <w:marLeft w:val="0"/>
                              <w:marRight w:val="2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7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798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19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596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1335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4" w:space="0" w:color="000000"/>
                                                        <w:left w:val="single" w:sz="4" w:space="0" w:color="000000"/>
                                                        <w:bottom w:val="single" w:sz="4" w:space="0" w:color="000000"/>
                                                        <w:right w:val="single" w:sz="4" w:space="0" w:color="000000"/>
                                                      </w:divBdr>
                                                      <w:divsChild>
                                                        <w:div w:id="21253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50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50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5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04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31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12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68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98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60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40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23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2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814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5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3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46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9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90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32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5520">
                      <w:marLeft w:val="0"/>
                      <w:marRight w:val="168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4595">
                      <w:marLeft w:val="0"/>
                      <w:marRight w:val="168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0107">
                      <w:marLeft w:val="0"/>
                      <w:marRight w:val="168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0062">
                      <w:marLeft w:val="0"/>
                      <w:marRight w:val="168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424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2" w:color="000000"/>
                                    <w:bottom w:val="single" w:sz="12" w:space="0" w:color="000000"/>
                                    <w:right w:val="single" w:sz="12" w:space="2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2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77361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879509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49056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30161">
                                      <w:marLeft w:val="0"/>
                                      <w:marRight w:val="1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2020-12-23T12:16:00Z</cp:lastPrinted>
  <dcterms:created xsi:type="dcterms:W3CDTF">2021-02-05T13:57:00Z</dcterms:created>
  <dcterms:modified xsi:type="dcterms:W3CDTF">2021-02-05T14:54:00Z</dcterms:modified>
</cp:coreProperties>
</file>